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Network-Based Personalized Nutrition Coaching: A Stratified Analysis of Food Preference Networks Across Demographic Groups</w:t>
      </w:r>
    </w:p>
    <w:p>
      <w:pPr>
        <w:jc w:val="center"/>
      </w:pPr>
      <w:r>
        <w:rPr>
          <w:rFonts w:ascii="Times New Roman" w:hAnsi="Times New Roman"/>
          <w:sz w:val="24"/>
        </w:rPr>
        <w:t>Heejeong Han, PhD Candidate</w:t>
      </w:r>
    </w:p>
    <w:p>
      <w:pPr>
        <w:jc w:val="center"/>
      </w:pPr>
      <w:r>
        <w:rPr>
          <w:rFonts w:ascii="Times New Roman" w:hAnsi="Times New Roman"/>
          <w:i/>
          <w:sz w:val="20"/>
        </w:rPr>
        <w:t>Department of Food Technology, Seoul National University Hospital</w:t>
      </w:r>
    </w:p>
    <w:p/>
    <w:p>
      <w:pPr>
        <w:pStyle w:val="Heading1"/>
      </w:pPr>
      <w:r>
        <w:t>Abstract</w:t>
      </w:r>
    </w:p>
    <w:p>
      <w:pPr>
        <w:spacing w:lineRule="auto" w:line="360" w:after="120"/>
        <w:jc w:val="both"/>
      </w:pPr>
      <w:r>
        <w:rPr>
          <w:rFonts w:ascii="Times New Roman" w:hAnsi="Times New Roman"/>
          <w:sz w:val="22"/>
        </w:rPr>
        <w:t>Background: Traditional nutrition guidance relies on universal dietary recommendations that fail to account for individual variability in food preference networks. This one-size-fits-all approach overlooks the complex, interconnected nature of dietary patterns that vary significantly across demographic subgroups.</w:t>
        <w:br/>
        <w:br/>
        <w:t>Objective: To develop personalized nutrition coaching strategies based on food preference network analysis across stratified population groups, moving beyond universal recommendations to precision nutrition interventions.</w:t>
        <w:br/>
        <w:br/>
        <w:t>Methods: We analyzed dietary preference networks in 22,944 Korean adults using Semiparametric Gaussian Copula Graphical Models (SGCGM) across 11 stratified groups defined by sex, age (19-39, 40-59, 60-74 years), and metabolic syndrome (MetS) status. Network topology, hub foods, and partial correlations were characterized to develop group-specific intervention strategies.</w:t>
        <w:br/>
        <w:br/>
        <w:t>Results: Network complexity varied dramatically across groups (3-9 edges, 4.5-13.6% density), revealing distinct patterns requiring different coaching approaches. Males showed complex networks (6-9 edges) necessitating comprehensive interventions, while females displayed simpler networks (3-7 edges) enabling efficient targeting. Three intervention intensities emerged: high-intensity for MetS(+) groups requiring hub disruption (processed/fried foods elimination), medium-intensity for transitional groups, and low-intensity for healthy groups focusing on beneficial hub strengthening (protein-vegetables enhancement, r=0.318).</w:t>
        <w:br/>
        <w:br/>
        <w:t>Conclusions: This study establishes the first evidence-based framework for personalized nutrition coaching using network topology. The 11-group stratification reveals that optimal interventions vary from aggressive hub disruption in high-risk groups to selective hub enhancement in healthy populations. This precision approach represents a paradigm shift from universal dietary guidelines to individualized, network-informed nutrition strategies with direct applications in digital health platforms.</w:t>
        <w:br/>
        <w:br/>
        <w:t>Keywords: personalized nutrition, network analysis, precision health, food preference networks, stratified interventions, digital nutrition</w:t>
      </w:r>
    </w:p>
    <w:p>
      <w:r>
        <w:br w:type="page"/>
      </w:r>
    </w:p>
    <w:p>
      <w:pPr>
        <w:pStyle w:val="Heading1"/>
      </w:pPr>
      <w:r>
        <w:t>Introduction</w:t>
      </w:r>
    </w:p>
    <w:p>
      <w:pPr>
        <w:spacing w:lineRule="auto" w:line="360" w:after="120"/>
        <w:jc w:val="both"/>
      </w:pPr>
      <w:r>
        <w:rPr>
          <w:rFonts w:ascii="Times New Roman" w:hAnsi="Times New Roman"/>
          <w:sz w:val="22"/>
        </w:rPr>
        <w:t>Current nutrition guidance operates on a fundamentally flawed premise: that optimal dietary patterns are universal across all individuals. The Dietary Reference Intakes (DRIs) and national dietary guidelines provide broad recommendations based on population averages, failing to account for the substantial heterogeneity in food preference patterns across demographic subgroups. This one-size-fits-all approach has contributed to the limited effectiveness of traditional nutrition interventions, with success rates remaining disappointingly low across diverse populations.</w:t>
      </w:r>
    </w:p>
    <w:p>
      <w:pPr>
        <w:spacing w:lineRule="auto" w:line="360" w:after="120"/>
        <w:jc w:val="both"/>
      </w:pPr>
      <w:r>
        <w:rPr>
          <w:rFonts w:ascii="Times New Roman" w:hAnsi="Times New Roman"/>
          <w:sz w:val="22"/>
        </w:rPr>
        <w:t>The emerging field of precision nutrition recognizes that optimal dietary patterns are highly individualized, influenced by genetic, metabolic, behavioral, and demographic factors. However, most precision nutrition research has focused on genomic or metabolomic markers, overlooking the fundamental behavioral patterns that drive food choices in real-world settings. Food preference networks—the interconnected patterns of dietary behaviors—represent a critical but underexplored dimension of nutritional individuality.</w:t>
      </w:r>
    </w:p>
    <w:p>
      <w:pPr>
        <w:spacing w:lineRule="auto" w:line="360" w:after="120"/>
        <w:jc w:val="both"/>
      </w:pPr>
      <w:r>
        <w:rPr>
          <w:rFonts w:ascii="Times New Roman" w:hAnsi="Times New Roman"/>
          <w:sz w:val="22"/>
        </w:rPr>
        <w:t>Food preferences do not exist in isolation but form complex, interconnected networks where changes in one food category can cascade through the entire dietary pattern. Understanding these network structures enables identification of 'hub' foods that disproportionately influence overall dietary quality, providing strategic targets for efficient interventions. Recent advances in graphical modeling, particularly Gaussian Copula Graphical Models, now enable precise quantification of these network relationships.</w:t>
      </w:r>
    </w:p>
    <w:p>
      <w:pPr>
        <w:spacing w:lineRule="auto" w:line="360" w:after="120"/>
        <w:jc w:val="both"/>
      </w:pPr>
      <w:r>
        <w:rPr>
          <w:rFonts w:ascii="Times New Roman" w:hAnsi="Times New Roman"/>
          <w:sz w:val="22"/>
        </w:rPr>
        <w:t>Substantial evidence suggests that food preference networks vary significantly across demographic groups. Sex differences in food preferences are well-documented, age-related changes in dietary patterns are established, and metabolic syndrome status fundamentally alters food relationships. However, no study has systematically characterized how these factors interact to create distinct network topologies requiring different intervention approaches.</w:t>
      </w:r>
    </w:p>
    <w:p>
      <w:pPr>
        <w:spacing w:lineRule="auto" w:line="360" w:after="120"/>
        <w:jc w:val="both"/>
      </w:pPr>
      <w:r>
        <w:rPr>
          <w:rFonts w:ascii="Times New Roman" w:hAnsi="Times New Roman"/>
          <w:sz w:val="22"/>
        </w:rPr>
        <w:t>The proliferation of mobile health applications and AI-powered nutrition platforms creates unprecedented opportunities to deliver personalized interventions at scale. However, the lack of evidence-based personalization frameworks limits these technologies to generic advice delivery. Network-based stratification could provide the scientific foundation for truly individualized digital nutrition coaching.</w:t>
      </w:r>
    </w:p>
    <w:p>
      <w:pPr>
        <w:spacing w:lineRule="auto" w:line="360" w:after="120"/>
        <w:jc w:val="both"/>
      </w:pPr>
      <w:r>
        <w:rPr>
          <w:rFonts w:ascii="Times New Roman" w:hAnsi="Times New Roman"/>
          <w:sz w:val="22"/>
        </w:rPr>
        <w:t>This study addresses the critical gap between universal nutrition recommendations and individual dietary complexity by developing the first comprehensive framework for network-based personalized nutrition coaching. Our primary objective is to characterize food preference networks across stratified population groups and translate these findings into actionable, group-specific intervention strategies. Specific aims include: (1) quantifying network topology across 11 demographic groups, (2) identifying strategic hub foods for intervention targeting, (3) developing evidence-based coaching protocols for each group, and (4) providing actionable frameworks for digital health implementation.</w:t>
      </w:r>
    </w:p>
    <w:p>
      <w:r>
        <w:br w:type="page"/>
      </w:r>
    </w:p>
    <w:p>
      <w:pPr>
        <w:pStyle w:val="Heading1"/>
      </w:pPr>
      <w:r>
        <w:t>Methods</w:t>
      </w:r>
    </w:p>
    <w:p>
      <w:pPr>
        <w:pStyle w:val="Heading2"/>
      </w:pPr>
      <w:r>
        <w:t>Study Design and Population</w:t>
      </w:r>
    </w:p>
    <w:p>
      <w:pPr>
        <w:spacing w:lineRule="auto" w:line="360" w:after="120"/>
        <w:jc w:val="both"/>
      </w:pPr>
      <w:r>
        <w:rPr>
          <w:rFonts w:ascii="Times New Roman" w:hAnsi="Times New Roman"/>
          <w:sz w:val="22"/>
        </w:rPr>
        <w:t>We conducted a cross-sectional analysis of dietary preference networks using data from 22,944 Korean adults (19-74 years) from the Korea National Health and Nutrition Examination Survey (KNHANES) 2013-2021. Participants were strategically stratified into 11 groups based on sex (male/female), age (19-39, 40-59, 60-74 years), and metabolic syndrome status (MetS+/MetS-) using modified NCEP-ATP III criteria. Female young adults with MetS were excluded due to insufficient sample size (n&lt;500).</w:t>
      </w:r>
    </w:p>
    <w:p>
      <w:pPr>
        <w:pStyle w:val="Heading2"/>
      </w:pPr>
      <w:r>
        <w:t>Dietary Assessment</w:t>
      </w:r>
    </w:p>
    <w:p>
      <w:pPr>
        <w:spacing w:lineRule="auto" w:line="360" w:after="120"/>
        <w:jc w:val="both"/>
      </w:pPr>
      <w:r>
        <w:rPr>
          <w:rFonts w:ascii="Times New Roman" w:hAnsi="Times New Roman"/>
          <w:sz w:val="22"/>
        </w:rPr>
        <w:t>Dietary preferences were assessed using a semi-quantitative food frequency questionnaire capturing intake frequency of 9 major food groups: Processed Foods, Fried Foods, Protein Foods, Vegetables, Fruits, Dairy Products, High Fat Meat, Sugar-Sweetened Beverages, and Grain Products. Frequency was recorded on a 1-4 point scale (never/rarely, 1-2 times/week, 3-4 times/week, almost daily) for 8 food groups, and a 1-3 point scale for alcohol.</w:t>
      </w:r>
    </w:p>
    <w:p>
      <w:pPr>
        <w:pStyle w:val="Heading2"/>
      </w:pPr>
      <w:r>
        <w:t>Network Analysis</w:t>
      </w:r>
    </w:p>
    <w:p>
      <w:pPr>
        <w:spacing w:lineRule="auto" w:line="360" w:after="120"/>
        <w:jc w:val="both"/>
      </w:pPr>
      <w:r>
        <w:rPr>
          <w:rFonts w:ascii="Times New Roman" w:hAnsi="Times New Roman"/>
          <w:sz w:val="22"/>
        </w:rPr>
        <w:t>We employed Semiparametric Gaussian Copula Graphical Models (SGCGM) to handle the non-normal distribution of food frequency data while preserving conditional dependence relationships. The analysis pipeline included: (1) transformation using empirical cumulative distribution functions, (2) partial correlation estimation using the nonparanormal SKEPTIC estimator, (3) network selection via graphical lasso with cross-validation for optimal regularization, and (4) hub identification using degree centrality (≥6 connections). Each of the 11 groups was analyzed independently to capture unique network characteristics.</w:t>
      </w:r>
    </w:p>
    <w:p>
      <w:pPr>
        <w:pStyle w:val="Heading2"/>
      </w:pPr>
      <w:r>
        <w:t>Personalized Strategy Development</w:t>
      </w:r>
    </w:p>
    <w:p>
      <w:pPr>
        <w:spacing w:lineRule="auto" w:line="360" w:after="120"/>
        <w:jc w:val="both"/>
      </w:pPr>
      <w:r>
        <w:rPr>
          <w:rFonts w:ascii="Times New Roman" w:hAnsi="Times New Roman"/>
          <w:sz w:val="22"/>
        </w:rPr>
        <w:t>Based on network characteristics, we developed three intervention intensity levels: high-intensity (complex networks with MetS requiring aggressive hub disruption), medium-intensity (transitional groups requiring selective optimization), and low-intensity (simple networks or healthy groups focusing on beneficial enhancement). For each group, we identified primary targets, strategy types (hub disruption vs. beneficial enhancement), intervention intensity, and specific action sequences.</w:t>
      </w:r>
    </w:p>
    <w:p>
      <w:pPr>
        <w:pStyle w:val="Heading2"/>
      </w:pPr>
      <w:r>
        <w:t>Statistical Analysis</w:t>
      </w:r>
    </w:p>
    <w:p>
      <w:pPr>
        <w:spacing w:lineRule="auto" w:line="360" w:after="120"/>
        <w:jc w:val="both"/>
      </w:pPr>
      <w:r>
        <w:rPr>
          <w:rFonts w:ascii="Times New Roman" w:hAnsi="Times New Roman"/>
          <w:sz w:val="22"/>
        </w:rPr>
        <w:t>Network topology metrics were compared across groups using appropriate non-parametric tests. Strategy appropriateness was validated through consistency of hub patterns within groups and logical progression of intervention intensity based on complexity and health risk. All analyses were conducted in R (version 4.3.0) using packages: huge (graphical lasso), igraph (network analysis), and ggplot2 (visualization).</w:t>
      </w:r>
    </w:p>
    <w:p>
      <w:r>
        <w:br w:type="page"/>
      </w:r>
    </w:p>
    <w:p>
      <w:pPr>
        <w:pStyle w:val="Heading1"/>
      </w:pPr>
      <w:r>
        <w:t>Results</w:t>
      </w:r>
    </w:p>
    <w:p>
      <w:pPr>
        <w:pStyle w:val="Heading2"/>
      </w:pPr>
      <w:r>
        <w:t>Network Heterogeneity Across Demographic Groups</w:t>
      </w:r>
    </w:p>
    <w:p>
      <w:pPr>
        <w:spacing w:lineRule="auto" w:line="360" w:after="120"/>
        <w:jc w:val="both"/>
      </w:pPr>
      <w:r>
        <w:rPr>
          <w:rFonts w:ascii="Times New Roman" w:hAnsi="Times New Roman"/>
          <w:sz w:val="22"/>
        </w:rPr>
        <w:t>Analysis revealed profound heterogeneity in food preference networks across the 11 stratified groups. Network complexity varied dramatically from 3 to 9 edges with density ranging from 4.5% to 13.6% (Table 1). The most complex networks appeared in young males (9 edges, 13.6% density), while the simplest networks were found in older females (3 edges, 4.5% density). This 3-fold difference in complexity has profound implications for intervention strategy development.</w:t>
      </w:r>
    </w:p>
    <w:p>
      <w:pPr>
        <w:pStyle w:val="Heading2"/>
      </w:pPr>
      <w:r>
        <w:t>Hub Food Patterns and Strategic Targets</w:t>
      </w:r>
    </w:p>
    <w:p>
      <w:pPr>
        <w:spacing w:lineRule="auto" w:line="360" w:after="120"/>
        <w:jc w:val="both"/>
      </w:pPr>
      <w:r>
        <w:rPr>
          <w:rFonts w:ascii="Times New Roman" w:hAnsi="Times New Roman"/>
          <w:sz w:val="22"/>
        </w:rPr>
        <w:t>Universal hub foods appearing in &gt;80% of groups included Processed Foods (10/11 groups, 90.9%) and Fried Foods (9/11 groups, 81.8%), representing primary targets for hub disruption strategies in high-risk populations (Table 2). Group-specific hubs varied considerably: Protein Foods appeared in 8/11 groups (72.7%), while Vegetables served as hubs in only 2/11 groups (18.2%), primarily older females. The strongest partial correlation across all groups was Protein-Vegetables (r=0.318), representing the most powerful positive dietary relationship available for beneficial hub enhancement strategies.</w:t>
      </w:r>
    </w:p>
    <w:p>
      <w:pPr>
        <w:pStyle w:val="Heading2"/>
      </w:pPr>
      <w:r>
        <w:t>Three-Tier Personalized Coaching Framework</w:t>
      </w:r>
    </w:p>
    <w:p>
      <w:pPr>
        <w:spacing w:lineRule="auto" w:line="360" w:after="120"/>
        <w:jc w:val="both"/>
      </w:pPr>
      <w:r>
        <w:rPr>
          <w:rFonts w:ascii="Times New Roman" w:hAnsi="Times New Roman"/>
          <w:sz w:val="22"/>
        </w:rPr>
        <w:t>Based on network characteristics and health risk, we developed three distinct intervention approaches:</w:t>
      </w:r>
    </w:p>
    <w:p>
      <w:pPr>
        <w:spacing w:lineRule="auto" w:line="360" w:after="120"/>
        <w:jc w:val="both"/>
      </w:pPr>
      <w:r>
        <w:rPr>
          <w:rFonts w:ascii="Times New Roman" w:hAnsi="Times New Roman"/>
          <w:sz w:val="22"/>
        </w:rPr>
        <w:t>High-Intensity Interventions (3 groups, 4,212 participants): Target groups included male young MetS(+), male middle MetS(+), and female middle MetS(+). These groups exhibited complex networks (7-8 edges) combined with metabolic risk, requiring aggressive hub disruption strategies. Primary actions include complete elimination of processed foods (hub disruption), conversion of fried foods to alternative cooking methods, establishment of Protein-Vegetables as new dietary hub, and intensive monitoring (weekly to bi-weekly). Expected timeline is 3-4 months intensive intervention followed by 6-9 months stabilization, with anticipated dramatic network restructuring and MetS improvement.</w:t>
      </w:r>
    </w:p>
    <w:p>
      <w:pPr>
        <w:spacing w:lineRule="auto" w:line="360" w:after="120"/>
        <w:jc w:val="both"/>
      </w:pPr>
      <w:r>
        <w:rPr>
          <w:rFonts w:ascii="Times New Roman" w:hAnsi="Times New Roman"/>
          <w:sz w:val="22"/>
        </w:rPr>
        <w:t>Medium-Intensity Interventions (4 groups, 10,106 participants): Target groups included male young MetS(-), male older MetS(+), female middle MetS(-), and female older MetS(+). These transitional groups showed mixed complexity with varying health needs, requiring selective optimization and gradual enhancement. Primary actions include gradual processed food reduction, strengthening of beneficial hubs (Protein-Vegetables or Vegetables alone), life-stage specific considerations (hormonal changes, aging), and regular monitoring (bi-weekly to monthly). Expected timeline is 6 months gradual transition followed by long-term maintenance, with optimized network balance and sustained health improvement.</w:t>
      </w:r>
    </w:p>
    <w:p>
      <w:pPr>
        <w:spacing w:lineRule="auto" w:line="360" w:after="120"/>
        <w:jc w:val="both"/>
      </w:pPr>
      <w:r>
        <w:rPr>
          <w:rFonts w:ascii="Times New Roman" w:hAnsi="Times New Roman"/>
          <w:sz w:val="22"/>
        </w:rPr>
        <w:t>Low-Intensity Interventions (4 groups, 8,626 participants): Target groups included male middle MetS(-), male older MetS(-), female young MetS(-), and female older MetS(-). These healthy groups with simple or well-balanced networks focus on maintenance and selective enhancement. Primary actions include maintaining current beneficial patterns, enhancing existing healthy hubs (especially Vegetables in older females), prevention of network degradation through monitoring, and minimal intervention frequency (monthly or less). Long-term maintenance with periodic optimization sustains health patterns with efficient resource utilization.</w:t>
      </w:r>
    </w:p>
    <w:p>
      <w:pPr>
        <w:pStyle w:val="Heading2"/>
      </w:pPr>
      <w:r>
        <w:t>Sex and Age Effects on Network Architecture</w:t>
      </w:r>
    </w:p>
    <w:p>
      <w:pPr>
        <w:spacing w:lineRule="auto" w:line="360" w:after="120"/>
        <w:jc w:val="both"/>
      </w:pPr>
      <w:r>
        <w:rPr>
          <w:rFonts w:ascii="Times New Roman" w:hAnsi="Times New Roman"/>
          <w:sz w:val="22"/>
        </w:rPr>
        <w:t>Males consistently showed higher network complexity (6-9 edges) compared to females (3-7 edges), necessitating comprehensive intervention approaches versus efficient targeting strategies. Age-related network simplification was more pronounced in females than males, with older females showing the simplest networks (3 edges) enabling highly focused interventions. Metabolic syndrome status showed variable effects depending on sex and age context, with the hierarchy of influence being sex &gt; age &gt; MetS.</w:t>
      </w:r>
    </w:p>
    <w:p>
      <w:r>
        <w:br w:type="page"/>
      </w:r>
    </w:p>
    <w:p>
      <w:pPr>
        <w:pStyle w:val="Heading1"/>
      </w:pPr>
      <w:r>
        <w:t>Discussion</w:t>
      </w:r>
    </w:p>
    <w:p>
      <w:pPr>
        <w:spacing w:lineRule="auto" w:line="360" w:after="120"/>
        <w:jc w:val="both"/>
      </w:pPr>
      <w:r>
        <w:rPr>
          <w:rFonts w:ascii="Times New Roman" w:hAnsi="Times New Roman"/>
          <w:sz w:val="22"/>
        </w:rPr>
        <w:t>This study establishes the first comprehensive framework for network-based personalized nutrition coaching, representing a fundamental departure from the universal dietary guideline paradigm that has dominated nutrition science for decades. Our findings demonstrate that food preference networks vary dramatically across demographic subgroups, with complexity differences of up to 3-fold and completely different hub food patterns, necessitating the personalized approach we have developed.</w:t>
      </w:r>
    </w:p>
    <w:p>
      <w:pPr>
        <w:spacing w:lineRule="auto" w:line="360" w:after="120"/>
        <w:jc w:val="both"/>
      </w:pPr>
      <w:r>
        <w:rPr>
          <w:rFonts w:ascii="Times New Roman" w:hAnsi="Times New Roman"/>
          <w:sz w:val="22"/>
        </w:rPr>
        <w:t>Network complexity emerges as a critical factor in determining intervention intensity and approach. High-complexity networks (6-9 edges) require comprehensive interventions because changes to one food category cascade through multiple connections. Attempting simple interventions in complex networks often fails because target behaviors are supported by multiple network connections. Conversely, low-complexity networks (3-5 edges) enable highly efficient interventions because fewer connections mean that changes to key hubs have proportionally larger impacts.</w:t>
      </w:r>
    </w:p>
    <w:p>
      <w:pPr>
        <w:spacing w:lineRule="auto" w:line="360" w:after="120"/>
        <w:jc w:val="both"/>
      </w:pPr>
      <w:r>
        <w:rPr>
          <w:rFonts w:ascii="Times New Roman" w:hAnsi="Times New Roman"/>
          <w:sz w:val="22"/>
        </w:rPr>
        <w:t>The hub disruption versus enhancement strategy represents a revolutionary insight: the most effective intervention approach depends not just on what foods to target, but whether to disrupt existing hubs or enhance beneficial ones. In MetS(+) groups, processed foods and fried foods serve as structural hubs that actively promote disease, requiring aggressive disruption strategies. In healthy populations, the Protein-Vegetables relationship (r=0.318) represents the strongest positive dietary relationship available for strategic enhancement.</w:t>
      </w:r>
    </w:p>
    <w:p>
      <w:pPr>
        <w:spacing w:lineRule="auto" w:line="360" w:after="120"/>
        <w:jc w:val="both"/>
      </w:pPr>
      <w:r>
        <w:rPr>
          <w:rFonts w:ascii="Times New Roman" w:hAnsi="Times New Roman"/>
          <w:sz w:val="22"/>
        </w:rPr>
        <w:t>Sex differences in dietary networks are not merely preferences but represent fundamentally different network architectures requiring different intervention philosophies. Males' complex networks (6-9 edges) require comprehensive, systems-thinking approaches, while females' simpler networks (3-7 edges) enable efficient, targeted interventions. This network efficiency may explain why females often show better adherence to dietary interventions.</w:t>
      </w:r>
    </w:p>
    <w:p>
      <w:pPr>
        <w:spacing w:lineRule="auto" w:line="360" w:after="120"/>
        <w:jc w:val="both"/>
      </w:pPr>
      <w:r>
        <w:rPr>
          <w:rFonts w:ascii="Times New Roman" w:hAnsi="Times New Roman"/>
          <w:sz w:val="22"/>
        </w:rPr>
        <w:t>The digital health implementation potential is substantial. Our 11-group framework provides the algorithmic foundation for truly personalized nutrition applications. Simple demographic inputs (sex, age, MetS status) enable instant group classification and automated strategy deployment, making personalized nutrition accessible at population scale. The three-tier intensity framework enables efficient resource allocation, focusing intensive interventions on the 18% of the population requiring them while maintaining the 38% with simple networks through minimal-resource approaches.</w:t>
      </w:r>
    </w:p>
    <w:p>
      <w:pPr>
        <w:spacing w:lineRule="auto" w:line="360" w:after="120"/>
        <w:jc w:val="both"/>
      </w:pPr>
      <w:r>
        <w:rPr>
          <w:rFonts w:ascii="Times New Roman" w:hAnsi="Times New Roman"/>
          <w:sz w:val="22"/>
        </w:rPr>
        <w:t>Limitations include cultural specificity (Korean population requiring validation across diverse contexts), cross-sectional design (cannot capture network evolution over time), and within-group variation (11-group framework captures major sources of variation but individual differences remain). Future research should explore individual-level network analysis methods, temporal dynamics of network change, and integration with genomic and metabolomic precision nutrition approaches.</w:t>
      </w:r>
    </w:p>
    <w:p>
      <w:pPr>
        <w:spacing w:lineRule="auto" w:line="360" w:after="120"/>
        <w:jc w:val="both"/>
      </w:pPr>
      <w:r>
        <w:rPr>
          <w:rFonts w:ascii="Times New Roman" w:hAnsi="Times New Roman"/>
          <w:sz w:val="22"/>
        </w:rPr>
        <w:t>In conclusion, this research establishes food preference networks as a practical foundation for personalized nutrition, moving the field from theoretical promise to implementable reality. The 11-group framework provides immediate clinical utility while establishing the methodological foundation for future advances toward individual-level precision nutrition. As digital health technologies continue to evolve, network-based personalization offers a scientifically grounded path toward truly effective, individualized dietary interventions at population scale.</w:t>
      </w:r>
    </w:p>
    <w:p>
      <w:r>
        <w:br w:type="page"/>
      </w:r>
    </w:p>
    <w:p>
      <w:pPr>
        <w:pStyle w:val="Heading1"/>
      </w:pPr>
      <w:r>
        <w:t>Conclusions</w:t>
      </w:r>
    </w:p>
    <w:p>
      <w:pPr>
        <w:spacing w:lineRule="auto" w:line="360" w:after="120"/>
        <w:jc w:val="both"/>
      </w:pPr>
      <w:r>
        <w:rPr>
          <w:rFonts w:ascii="Times New Roman" w:hAnsi="Times New Roman"/>
          <w:sz w:val="22"/>
        </w:rPr>
        <w:t>This study establishes the first comprehensive, evidence-based framework for personalized nutrition coaching using food preference network analysis. By identifying 11 distinct demographic groups with unique network characteristics, we have moved beyond universal dietary recommendations to provide specific, actionable intervention strategies tailored to network topology and health risk. The three-tier intervention framework (high, medium, and low-intensity strategies) enables optimal resource allocation based on network complexity and metabolic risk. This represents a paradigm shift from universal nutrition guidelines to network-informed, personalized interventions with immediate practical applications in digital health platforms and clinical practice.</w:t>
      </w:r>
    </w:p>
    <w:p>
      <w:r>
        <w:br w:type="page"/>
      </w:r>
    </w:p>
    <w:p>
      <w:pPr>
        <w:pStyle w:val="Heading1"/>
      </w:pPr>
      <w:r>
        <w:t>References</w:t>
      </w:r>
    </w:p>
    <w:p>
      <w:pPr>
        <w:spacing w:lineRule="auto" w:line="360" w:after="120"/>
        <w:jc w:val="both"/>
      </w:pPr>
      <w:r>
        <w:rPr>
          <w:rFonts w:ascii="Times New Roman" w:hAnsi="Times New Roman"/>
          <w:sz w:val="20"/>
        </w:rPr>
        <w:t>1. [Placeholder for dietary guidelines reference]</w:t>
      </w:r>
    </w:p>
    <w:p>
      <w:pPr>
        <w:spacing w:lineRule="auto" w:line="360" w:after="120"/>
        <w:jc w:val="both"/>
      </w:pPr>
      <w:r>
        <w:rPr>
          <w:rFonts w:ascii="Times New Roman" w:hAnsi="Times New Roman"/>
          <w:sz w:val="20"/>
        </w:rPr>
        <w:t>2. [Placeholder for precision nutrition reference]</w:t>
      </w:r>
    </w:p>
    <w:p>
      <w:pPr>
        <w:spacing w:lineRule="auto" w:line="360" w:after="120"/>
        <w:jc w:val="both"/>
      </w:pPr>
      <w:r>
        <w:rPr>
          <w:rFonts w:ascii="Times New Roman" w:hAnsi="Times New Roman"/>
          <w:sz w:val="20"/>
        </w:rPr>
        <w:t>3. [Placeholder for food networks reference]</w:t>
      </w:r>
    </w:p>
    <w:p>
      <w:pPr>
        <w:spacing w:lineRule="auto" w:line="360" w:after="120"/>
        <w:jc w:val="both"/>
      </w:pPr>
      <w:r>
        <w:rPr>
          <w:rFonts w:ascii="Times New Roman" w:hAnsi="Times New Roman"/>
          <w:sz w:val="20"/>
        </w:rPr>
        <w:t>4. [Placeholder for graphical models reference]</w:t>
      </w:r>
    </w:p>
    <w:p>
      <w:pPr>
        <w:spacing w:lineRule="auto" w:line="360" w:after="120"/>
        <w:jc w:val="both"/>
      </w:pPr>
      <w:r>
        <w:rPr>
          <w:rFonts w:ascii="Times New Roman" w:hAnsi="Times New Roman"/>
          <w:sz w:val="20"/>
        </w:rPr>
        <w:t>5. [Placeholder for digital health reference]</w:t>
      </w:r>
    </w:p>
    <w:p>
      <w:r>
        <w:br w:type="page"/>
      </w:r>
    </w:p>
    <w:p>
      <w:pPr>
        <w:pStyle w:val="Heading1"/>
      </w:pPr>
      <w:r>
        <w:t>Tables and Figures</w:t>
      </w:r>
    </w:p>
    <w:p>
      <w:pPr>
        <w:spacing w:lineRule="auto" w:line="360" w:after="120"/>
        <w:jc w:val="both"/>
      </w:pPr>
      <w:r>
        <w:rPr>
          <w:rFonts w:ascii="Times New Roman" w:hAnsi="Times New Roman"/>
          <w:sz w:val="22"/>
        </w:rPr>
        <w:t>Table 1. Network topology characteristics by stratified groups</w:t>
      </w:r>
    </w:p>
    <w:p>
      <w:pPr>
        <w:spacing w:lineRule="auto" w:line="360" w:after="120"/>
        <w:jc w:val="both"/>
      </w:pPr>
      <w:r>
        <w:rPr>
          <w:rFonts w:ascii="Times New Roman" w:hAnsi="Times New Roman"/>
          <w:sz w:val="22"/>
        </w:rPr>
        <w:t>Table 2. Hub food frequency across population groups</w:t>
      </w:r>
    </w:p>
    <w:p>
      <w:pPr>
        <w:spacing w:lineRule="auto" w:line="360" w:after="120"/>
        <w:jc w:val="both"/>
      </w:pPr>
      <w:r>
        <w:rPr>
          <w:rFonts w:ascii="Times New Roman" w:hAnsi="Times New Roman"/>
          <w:sz w:val="22"/>
        </w:rPr>
        <w:t>Table 3. Top 10 strongest partial correlations</w:t>
      </w:r>
    </w:p>
    <w:p>
      <w:pPr>
        <w:spacing w:lineRule="auto" w:line="360" w:after="120"/>
        <w:jc w:val="both"/>
      </w:pPr>
    </w:p>
    <w:p>
      <w:pPr>
        <w:spacing w:lineRule="auto" w:line="360" w:after="120"/>
        <w:jc w:val="both"/>
      </w:pPr>
      <w:r>
        <w:rPr>
          <w:rFonts w:ascii="Times New Roman" w:hAnsi="Times New Roman"/>
          <w:sz w:val="22"/>
        </w:rPr>
        <w:t>Figure 1. Food preference networks across representative stratified groups</w:t>
      </w:r>
    </w:p>
    <w:p>
      <w:pPr>
        <w:spacing w:lineRule="auto" w:line="360" w:after="120"/>
        <w:jc w:val="both"/>
      </w:pPr>
      <w:r>
        <w:rPr>
          <w:rFonts w:ascii="Times New Roman" w:hAnsi="Times New Roman"/>
          <w:sz w:val="22"/>
        </w:rPr>
        <w:t>Figure 2. Hub food distribution across 11 population groups</w:t>
      </w:r>
    </w:p>
    <w:p>
      <w:pPr>
        <w:spacing w:lineRule="auto" w:line="360" w:after="120"/>
        <w:jc w:val="both"/>
      </w:pPr>
      <w:r>
        <w:rPr>
          <w:rFonts w:ascii="Times New Roman" w:hAnsi="Times New Roman"/>
          <w:sz w:val="22"/>
        </w:rPr>
        <w:t>Figure 3. Partial correlation heatmaps for key demographic groups</w:t>
      </w:r>
    </w:p>
    <w:p>
      <w:pPr>
        <w:spacing w:lineRule="auto" w:line="360" w:after="120"/>
        <w:jc w:val="both"/>
      </w:pPr>
      <w:r>
        <w:rPr>
          <w:rFonts w:ascii="Times New Roman" w:hAnsi="Times New Roman"/>
          <w:sz w:val="22"/>
        </w:rPr>
        <w:t>Figure 4. Complete network analysis grid (Supplementary)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