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FD5995">
      <w:pPr>
        <w:pStyle w:val="2"/>
        <w:keepNext w:val="0"/>
        <w:keepLines w:val="0"/>
        <w:widowControl/>
        <w:suppressLineNumbers w:val="0"/>
      </w:pPr>
      <w:r>
        <w:t>🔧 Technical Specifications</w:t>
      </w:r>
    </w:p>
    <w:p w14:paraId="7D1E3679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6"/>
        </w:rPr>
        <w:t>Power Consumption</w:t>
      </w:r>
      <w:r>
        <w:t>: 14W</w:t>
      </w:r>
    </w:p>
    <w:p w14:paraId="4F569363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6"/>
        </w:rPr>
        <w:t>Operating Voltage</w:t>
      </w:r>
      <w:r>
        <w:t>: 150V – 250V</w:t>
      </w:r>
    </w:p>
    <w:p w14:paraId="78DC499E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6"/>
        </w:rPr>
        <w:t>Base Type</w:t>
      </w:r>
      <w:r>
        <w:t>: E27</w:t>
      </w:r>
    </w:p>
    <w:p w14:paraId="3AB7C522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6"/>
        </w:rPr>
        <w:t>Dimensions</w:t>
      </w:r>
      <w:r>
        <w:t>: Ø70 x 128 mm</w:t>
      </w:r>
    </w:p>
    <w:p w14:paraId="1F292EC5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6"/>
        </w:rPr>
        <w:t>Beam Angle</w:t>
      </w:r>
      <w:r>
        <w:t>: 180°</w:t>
      </w:r>
    </w:p>
    <w:p w14:paraId="25BB4831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6"/>
        </w:rPr>
        <w:t>Power Factor (PF)</w:t>
      </w:r>
      <w:r>
        <w:t>: 0.5</w:t>
      </w:r>
    </w:p>
    <w:p w14:paraId="15FD925B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6"/>
        </w:rPr>
        <w:t>Maximum Current</w:t>
      </w:r>
      <w:r>
        <w:t>: 0.15A</w:t>
      </w:r>
    </w:p>
    <w:p w14:paraId="2577764A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6"/>
        </w:rPr>
        <w:t>Luminous Efficacy</w:t>
      </w:r>
      <w:r>
        <w:t>: 85–95 lm/W</w:t>
      </w:r>
    </w:p>
    <w:p w14:paraId="667D728B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6"/>
        </w:rPr>
        <w:t>Luminous Flux</w:t>
      </w:r>
      <w:r>
        <w:t>: 1190–1330 lm</w:t>
      </w:r>
    </w:p>
    <w:p w14:paraId="22DFCB30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6"/>
        </w:rPr>
        <w:t>Color Temperature (CCT)</w:t>
      </w:r>
      <w:r>
        <w:t>: 3000K (warm white) or 6500K (cool white)</w:t>
      </w:r>
    </w:p>
    <w:p w14:paraId="245BF9E7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6"/>
        </w:rPr>
        <w:t>Color Rendering Index (CRI)</w:t>
      </w:r>
      <w:r>
        <w:t>: ≥ 83</w:t>
      </w:r>
    </w:p>
    <w:p w14:paraId="1C4BCA47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6"/>
        </w:rPr>
        <w:t>Lifespan</w:t>
      </w:r>
      <w:r>
        <w:t>: 20,000 hours</w:t>
      </w:r>
    </w:p>
    <w:p w14:paraId="0724092F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6"/>
        </w:rPr>
        <w:t>On/Off Cycles</w:t>
      </w:r>
      <w:r>
        <w:t>: 50,000 times</w:t>
      </w:r>
    </w:p>
    <w:p w14:paraId="4D421B8E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6"/>
        </w:rPr>
        <w:t>Start Time</w:t>
      </w:r>
      <w:r>
        <w:t>: &lt; 0.5 seconds</w:t>
      </w:r>
    </w:p>
    <w:p w14:paraId="40F769B8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6"/>
        </w:rPr>
        <w:t>Material</w:t>
      </w:r>
      <w:r>
        <w:t>: Aluminum-plastic housing, durable and good heat dissipation</w:t>
      </w:r>
    </w:p>
    <w:p w14:paraId="15F64961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6"/>
        </w:rPr>
        <w:t>Mercury Content</w:t>
      </w:r>
      <w:r>
        <w:t>: 0 mg</w:t>
      </w:r>
    </w:p>
    <w:p w14:paraId="29DCD24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  <w:bookmarkStart w:id="0" w:name="_GoBack"/>
      <w:bookmarkEnd w:id="0"/>
    </w:p>
    <w:p w14:paraId="1AA6475D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EF259D"/>
    <w:rsid w:val="4DEF2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  <w:szCs w:val="24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2025-05-21T12:12:00Z</dcterms:created>
  <dc:creator>Admin</dc:creator>
  <cp:lastModifiedBy>Hà Nguyễn</cp:lastModifiedBy>
  <dcterms:modified xsi:type="dcterms:W3CDTF">2025-05-21T12:14:21Z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7310A2D4092E427DA66F02BD253E2D95_11</vt:lpwstr>
  </property>
</Properties>
</file>