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백엔드 아키텍처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DG-DOC-07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기능별 Package와 내부 계층을 사용하고 다른 모듈의 Repository에 직접 접근하지 않는다.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15 Backend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Spring Boot 모듈형 모놀리스의 Package, 의존 방향, Transaction, 동시성, Search와 Migration 규칙을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r>
        <w:br w:type="page"/>
      </w:r>
    </w:p>
    <w:p>
      <w:pPr>
        <w:pStyle w:val="Heading1"/>
        <w:keepNext/>
      </w:pPr>
      <w:r>
        <w:t>15 Backend Architecture</w:t>
      </w:r>
    </w:p>
    <w:p>
      <w:pPr>
        <w:pStyle w:val="Heading2"/>
        <w:keepNext/>
      </w:pPr>
      <w:r>
        <w:t>15 1 선택 Package by feature 모듈형 모놀리스 내부 계층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 </w:t>
      </w:r>
      <w:r>
        <w:rPr>
          <w:rFonts w:ascii="Menlo" w:hAnsi="Menlo" w:eastAsia="Menlo" w:cs="Menlo"/>
          <w:color w:val="000000"/>
          <w:sz w:val="21"/>
          <w:lang w:eastAsia="ko-KR"/>
        </w:rPr>
        <w:t>controller/service/repository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전역 레이어는 기능 하나를 바꿀 때 여러 최상위 폴더를 오가고 모듈 경계가 약해진다. 반대로 완전한 Hexagonal Architecture와 모든 use case interface는 현재 규모에 보일러플레이트가 크다.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따라서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도메인 기능별 package를 먼저 나누고, 각 기능 내부에서 presentation/application/domain/infrastructure를 필요한 만큼 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com.devgraph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DevGraphApplication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common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config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error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security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web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persistence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observability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auth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presentation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application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├── domain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│   └── infrastructure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workspace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knowledge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snippet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relation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graph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search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problem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project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tag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activity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dataexchange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각 모듈 예시: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knowledge/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presentation/KnowledgeController, request/, response/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application/CreateNodeService, UpdateNodeService, query/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├── domain/KnowledgeNode, NodeType, NodeStatus, KnowledgePolicy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└── infrastructure/JpaKnowledgeRepository, KnowledgeJpaEntity, SearchVectorUpdater</w:t>
      </w:r>
    </w:p>
    <w:p>
      <w:pPr>
        <w:pStyle w:val="Heading2"/>
        <w:keepNext/>
      </w:pPr>
      <w:r>
        <w:t>15 2 의존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presentation → application → domain 방향을 기본으로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infrastructure는 domain/application이 정의한 repository port를 구현한다. 단순 CRUD 모듈은 Spring Data repository를 application에서 직접 노출하지 않는 선에서 과도한 port 분리를 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모듈의 JPA entity/repository에 직접 접근하지 않고 공개 application service 또는 명시적 query facade를 호출한다.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cross-module transaction이 필요한 생성 흐름(예: Snippet + Version + Relation)은 orchestration service가 transaction boundary를 가진다.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 제약 위반(SQLState + constraint 이름)을 API 오류로 바꾸는 예외 변환은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infrastructure 계층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책임이다(서비스 계층에 흩어놓지 않는다). Flyway가 붙인 명시적 constraint 이름(§12.2)에 의존하므로, JPA 자동 생성 이름을 쓰는 schema에서는 이 매핑이 깨진다 —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(§15.5)와 짝을 이루는 규칙이다. 매핑 예시는 §12.3 </w:t>
      </w:r>
      <w:r>
        <w:rPr>
          <w:rFonts w:ascii="Menlo" w:hAnsi="Menlo" w:eastAsia="Menlo" w:cs="Menlo"/>
          <w:color w:val="000000"/>
          <w:sz w:val="21"/>
          <w:lang w:eastAsia="ko-KR"/>
        </w:rPr>
        <w:t>knowledge_relations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참고한다.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모듈 의존 방향(v1.7, Phase 4에서 확정):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knowledge → 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 상세가 관계를 싣는다), </w:t>
      </w:r>
      <w:r>
        <w:rPr>
          <w:rFonts w:ascii="Menlo" w:hAnsi="Menlo" w:eastAsia="Menlo" w:cs="Menlo"/>
          <w:color w:val="000000"/>
          <w:sz w:val="21"/>
          <w:lang w:eastAsia="ko-KR"/>
        </w:rPr>
        <w:t>snippet → knowledge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graph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다른 모듈의 Java 클래스를 import하지 않고 Node/Relation 엔티티를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JPQL 엔티티 이름으로만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읽는다(</w:t>
      </w:r>
      <w:r>
        <w:rPr>
          <w:rFonts w:ascii="Menlo" w:hAnsi="Menlo" w:eastAsia="Menlo" w:cs="Menlo"/>
          <w:color w:val="000000"/>
          <w:sz w:val="21"/>
          <w:lang w:eastAsia="ko-KR"/>
        </w:rPr>
        <w:t>knowledge.domain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NodeType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NodeStatus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enum만 공유 어휘로 쓴다). 그렇지 않으면 knowledge ↔ relation이 순환 의존이 된다. 이 방식의 대가는 엔티티 이름을 바꿔도 컴파일러가 알려 주지 않는다는 것이므로, 해당 쿼리들은 통합 테스트가 직접 실행해 검증한다.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LIKE 검색의 와일드카드: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(이스케이프 문자 </w:t>
      </w:r>
      <w:r>
        <w:rPr>
          <w:rFonts w:ascii="Menlo" w:hAnsi="Menlo" w:eastAsia="Menlo" w:cs="Menlo"/>
          <w:color w:val="000000"/>
          <w:sz w:val="21"/>
          <w:lang w:eastAsia="ko-KR"/>
        </w:rPr>
        <w:t>!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쿼리에 </w:t>
      </w:r>
      <w:r>
        <w:rPr>
          <w:rFonts w:ascii="Menlo" w:hAnsi="Menlo" w:eastAsia="Menlo" w:cs="Menlo"/>
          <w:color w:val="000000"/>
          <w:sz w:val="21"/>
          <w:lang w:eastAsia="ko-KR"/>
        </w:rPr>
        <w:t>escape '!'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)를 거친다. 태그 검색과 Relation Picker 후보 검색이 쓰며, 와일드카드가 문자 그대로 검색되는지는 통합 테스트가 확인한다.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일반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domain event를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받아 기록하되, 핵심 저장 성공을 활동 로그 실패가 되돌리지 않게 한다(유실 허용).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반면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(로그인 실패, 세션 폐기, refresh 재사용 감지 등)는 </w:t>
      </w:r>
      <w:r>
        <w:rPr>
          <w:rFonts w:ascii="Menlo" w:hAnsi="Menlo" w:eastAsia="Menlo" w:cs="Menlo"/>
          <w:color w:val="000000"/>
          <w:sz w:val="21"/>
          <w:lang w:eastAsia="ko-KR"/>
        </w:rPr>
        <w:t>AFTER_COMMIT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유실을 허용하지 않는다. 원 동작의 트랜잭션이 rollback되더라도 감사 기록은 남아야 하므로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 `REQUIRES_NEW` transaction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즉시 커밋한다(§12.3). 원 트랜잭션과 같은 트랜잭션에 묶지 않는다 — 그러면 rollback 시 감사 로그도 함께 사라진다.</w:t>
      </w:r>
    </w:p>
    <w:p>
      <w:pPr>
        <w:pStyle w:val="Heading2"/>
        <w:keepNext/>
      </w:pPr>
      <w:r>
        <w:t>15 3 Transaction과 동시성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생성/수정/관계 연결은 짧은 DB transaction으로 묶는다.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외부 URL fetch, Export 파일 생성, AI 호출은 transaction 안에서 수행하지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lost update를 감지하고 409를 반환한다.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version number는 parent row lock 또는 atomic increment로 중복을 막는다.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관계 생성은 unique constraint를 최종 방어선으로 사용하고 constraint violation을 </w:t>
      </w:r>
      <w:r>
        <w:rPr>
          <w:rFonts w:ascii="Menlo" w:hAnsi="Menlo" w:eastAsia="Menlo" w:cs="Menlo"/>
          <w:color w:val="000000"/>
          <w:sz w:val="21"/>
          <w:lang w:eastAsia="ko-KR"/>
        </w:rPr>
        <w:t>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변환한다.</w:t>
      </w:r>
    </w:p>
    <w:p>
      <w:pPr>
        <w:pStyle w:val="Heading2"/>
        <w:keepNext/>
      </w:pPr>
      <w:r>
        <w:t>15 4 Search 구현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knowledge_nodes.search_vector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title(A), summary/body(C)만 가중한 tsvector를 저장한다.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태그는 여기 포함하지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일치는 </w:t>
      </w:r>
      <w:r>
        <w:rPr>
          <w:rFonts w:ascii="Menlo" w:hAnsi="Menlo" w:eastAsia="Menlo" w:cs="Menlo"/>
          <w:color w:val="000000"/>
          <w:sz w:val="21"/>
          <w:lang w:eastAsia="ko-KR"/>
        </w:rPr>
        <w:t>node_tags + tags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조인으로 별도 계산한다(exact match면 §9.5의 고정 </w:t>
      </w:r>
      <w:r>
        <w:rPr>
          <w:rFonts w:ascii="Menlo" w:hAnsi="Menlo" w:eastAsia="Menlo" w:cs="Menlo"/>
          <w:color w:val="000000"/>
          <w:sz w:val="21"/>
          <w:lang w:eastAsia="ko-KR"/>
        </w:rPr>
        <w:t>+60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tag 이름이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다시 만들 필요가 없다 — "서비스 트랜잭션에서 갱신할지 조회 시 합산할지" 미결이었던 문제를 애초에 없앤다.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code는 자연어 FTS와 성격이 달라 trigram 또는 normalized token 검색을 별도로 합친다.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6 검색 확장(v1.9):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error_records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(메시지 B, 환경·재현·원인 C)와 </w:t>
      </w:r>
      <w:r>
        <w:rPr>
          <w:rFonts w:ascii="Menlo" w:hAnsi="Menlo" w:eastAsia="Menlo" w:cs="Menlo"/>
          <w:color w:val="000000"/>
          <w:sz w:val="21"/>
          <w:lang w:eastAsia="ko-KR"/>
        </w:rPr>
        <w:t>solution_records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(접근 B, 단계·검증·트레이드오프 C)에 같은 방식의 생성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GIN 인덱스를 두고, 검색 후보·</w:t>
      </w:r>
      <w:r>
        <w:rPr>
          <w:rFonts w:ascii="Menlo" w:hAnsi="Menlo" w:eastAsia="Menlo" w:cs="Menlo"/>
          <w:color w:val="000000"/>
          <w:sz w:val="21"/>
          <w:lang w:eastAsia="ko-KR"/>
        </w:rPr>
        <w:t>body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점수에 합산한다. Error 메시지는 trigram(</w:t>
      </w:r>
      <w:r>
        <w:rPr>
          <w:rFonts w:ascii="Menlo" w:hAnsi="Menlo" w:eastAsia="Menlo" w:cs="Menlo"/>
          <w:color w:val="000000"/>
          <w:sz w:val="21"/>
          <w:lang w:eastAsia="ko-KR"/>
        </w:rPr>
        <w:t>ix_error_records__message_trgm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 부분 일치로도 찾아(예외 이름 일부 </w:t>
      </w:r>
      <w:r>
        <w:rPr>
          <w:rFonts w:ascii="Menlo" w:hAnsi="Menlo" w:eastAsia="Menlo" w:cs="Menlo"/>
          <w:color w:val="000000"/>
          <w:sz w:val="21"/>
          <w:lang w:eastAsia="ko-KR"/>
        </w:rPr>
        <w:t>NullPointer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 일치 필드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highlight.error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준다(가중치 </w:t>
      </w:r>
      <w:r>
        <w:rPr>
          <w:rFonts w:ascii="Menlo" w:hAnsi="Menlo" w:eastAsia="Menlo" w:cs="Menlo"/>
          <w:color w:val="000000"/>
          <w:sz w:val="21"/>
          <w:lang w:eastAsia="ko-KR"/>
        </w:rPr>
        <w:t>ERROR_MESSAGE=40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코드와 같은 비중). Project 설명은 Node 본문이라 기존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들어간다. 발췌 원천은 Node 본문에 subtype 서술 필드를 이어 붙인 텍스트다. Resource의 URL 자체는 검색 대상이 아니다.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색인 범위와 FTS 설정(v1.8):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'simple'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설정(형태소 분석 없음, 소문자 + 공백·구두점 분리)의 생성 컬럼이다. tsvector는 값 하나가 1 MB를 넘으면 오류이므로 본문은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앞 100,000자만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색인한다(그 뒤 내용은 FTS 대상이 아니며, 1 MB 본문 저장이 실패하지 않는지와 뒤쪽 토큰이 검색되지 않는지를 테스트로 확인했다). 제목은 </w:t>
      </w:r>
      <w:r>
        <w:rPr>
          <w:rFonts w:ascii="Menlo" w:hAnsi="Menlo" w:eastAsia="Menlo" w:cs="Menlo"/>
          <w:color w:val="000000"/>
          <w:sz w:val="21"/>
          <w:lang w:eastAsia="ko-KR"/>
        </w:rPr>
        <w:t>lower(title)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trigram GIN, 코드는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snippet_versions.code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trigram GIN(V6)으로 부분 일치를 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한국어 한계(v1.8 확인):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본문은 공백으로 나뉜 토큰 단위로만 일치한다. 조사가 붙은 본문(</w:t>
      </w:r>
      <w:r>
        <w:rPr>
          <w:rFonts w:ascii="Menlo" w:hAnsi="Menlo" w:eastAsia="Menlo" w:cs="Menlo"/>
          <w:color w:val="000000"/>
          <w:sz w:val="21"/>
          <w:lang w:eastAsia="ko-KR"/>
        </w:rPr>
        <w:t>만료시간을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)은 그 형태 그대로 검색해야 맞고 </w:t>
      </w:r>
      <w:r>
        <w:rPr>
          <w:rFonts w:ascii="Menlo" w:hAnsi="Menlo" w:eastAsia="Menlo" w:cs="Menlo"/>
          <w:color w:val="000000"/>
          <w:sz w:val="21"/>
          <w:lang w:eastAsia="ko-KR"/>
        </w:rPr>
        <w:t>만료시간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으로는 찾지 못한다. 제목은 trigram이라 부분 일치(</w:t>
      </w:r>
      <w:r>
        <w:rPr>
          <w:rFonts w:ascii="Menlo" w:hAnsi="Menlo" w:eastAsia="Menlo" w:cs="Menlo"/>
          <w:color w:val="000000"/>
          <w:sz w:val="21"/>
          <w:lang w:eastAsia="ko-KR"/>
        </w:rPr>
        <w:t>격리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Transaction 격리 수준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)가 된다. 본문 부분 일치가 필요하면 본문 trigram 인덱스(크기 부담)나 PGroonga/OpenSearch를 검토한다 — 통합 테스트가 이 한계를 명시적으로 고정해 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인덱스 활용: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단일 SQL은 후보 조건이 </w:t>
      </w:r>
      <w:r>
        <w:rPr>
          <w:rFonts w:ascii="Menlo" w:hAnsi="Menlo" w:eastAsia="Menlo" w:cs="Menlo"/>
          <w:color w:val="000000"/>
          <w:sz w:val="21"/>
          <w:lang w:eastAsia="ko-KR"/>
        </w:rPr>
        <w:t>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이어져 여러 테이블(코드는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)에 걸쳐 있어 전체 후보에 대해 인덱스 하나로 푸시다운되지 않는다. Workspace 범위 개인 KB(수만 건)에서는 허용하는 단순화이며, 각 조건이 인덱스 가능한 형태인지는 쿼리 플랜 테스트로 확인했다. 느려지면 조건별 </w:t>
      </w:r>
      <w:r>
        <w:rPr>
          <w:rFonts w:ascii="Menlo" w:hAnsi="Menlo" w:eastAsia="Menlo" w:cs="Menlo"/>
          <w:color w:val="000000"/>
          <w:sz w:val="21"/>
          <w:lang w:eastAsia="ko-KR"/>
        </w:rPr>
        <w:t>UNION ALL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나눈다.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한국어 형태소 분석은 기본 PostgreSQL 설정만으로 제한이 있다. MVP는 trigram/부분 일치로 보완하고, 실제 한국어 검색 실패 로그가 축적되면 PGroonga/OpenSearch를 검토한다.</w:t>
      </w:r>
    </w:p>
    <w:p>
      <w:pPr>
        <w:pStyle w:val="Heading2"/>
        <w:keepNext/>
      </w:pPr>
      <w:r>
        <w:t>15 5 API 문서와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Springdoc OpenAPI로 endpoint schema를 생성하되 이 문서의 행위 규칙을 대체하지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Flyway만 schema 변경 권한을 갖는다. </w:t>
      </w:r>
      <w:r>
        <w:rPr>
          <w:rFonts w:ascii="Menlo" w:hAnsi="Menlo" w:eastAsia="Menlo" w:cs="Menlo"/>
          <w:color w:val="000000"/>
          <w:sz w:val="21"/>
          <w:lang w:eastAsia="ko-KR"/>
        </w:rPr>
        <w:t>ddl-auto=validate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운영 기본값으로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migration은 forward-only로 작성하고 파괴적 변경은 expand → migrate → contract 단계로 수행한다.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DG-DOC-07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09-&#51064;&#51613;_&#48372;&#50504;_&#49444;&#44228;&#49436;.docx" TargetMode="External"/><Relationship Id="rId13" Type="http://schemas.openxmlformats.org/officeDocument/2006/relationships/hyperlink" Target="11-&#53580;&#49828;&#53944;_&#51204;&#47029;&#49436;.docx" TargetMode="External"/><Relationship Id="rId14" Type="http://schemas.openxmlformats.org/officeDocument/2006/relationships/hyperlink" Target="07-&#48177;&#50644;&#46300;_&#50500;&#53412;&#53581;&#52376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백엔드 아키텍처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