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4E8C"/>
          <w:spacing w:val="40"/>
          <w:sz w:val="28"/>
          <w:szCs w:val="28"/>
        </w:rPr>
        <w:t xml:space="preserve">GENESIS</w:t>
      </w:r>
    </w:p>
    <w:p>
      <w:pPr>
        <w:spacing w:after="120"/>
        <w:jc w:val="left"/>
      </w:pPr>
      <w:r>
        <w:rPr>
          <w:rFonts w:ascii="Arial" w:cs="Arial" w:eastAsia="Arial" w:hAnsi="Arial"/>
          <w:color w:val="52514E"/>
          <w:sz w:val="22"/>
          <w:szCs w:val="22"/>
        </w:rPr>
        <w:t xml:space="preserve">Emergent social organisation in survival-only learning agents</w:t>
      </w:r>
    </w:p>
    <w:p>
      <w:pPr>
        <w:pBdr>
          <w:bottom w:val="single" w:color="1F4E8C" w:sz="8" w:space="8"/>
        </w:pBdr>
        <w:spacing w:before="600" w:after="200"/>
      </w:pPr>
      <w:r>
        <w:rPr>
          <w:rFonts w:ascii="Arial" w:cs="Arial" w:eastAsia="Arial" w:hAnsi="Arial"/>
          <w:b/>
          <w:bCs/>
          <w:color w:val="1B1B1A"/>
          <w:sz w:val="48"/>
          <w:szCs w:val="48"/>
        </w:rPr>
        <w:t xml:space="preserve">Problem Definition Report</w:t>
      </w:r>
    </w:p>
    <w:p>
      <w:pPr>
        <w:spacing w:after="120"/>
        <w:jc w:val="left"/>
      </w:pPr>
      <w:r>
        <w:rPr>
          <w:rFonts w:ascii="Arial" w:cs="Arial" w:eastAsia="Arial" w:hAnsi="Arial"/>
          <w:color w:val="52514E"/>
          <w:sz w:val="24"/>
          <w:szCs w:val="24"/>
        </w:rPr>
        <w:t xml:space="preserve">What we study, why it matters, and how success is judged</w:t>
      </w:r>
    </w:p>
    <w:p>
      <w:pPr>
        <w:spacing w:before="9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Course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Design Experience I (Semester IV), VIP vertical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Institute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MPSTME, NMIMS (Vertically Integrated Projects vertical)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Domain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Artificial Intelligence &amp; Data Systems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Team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Heet Ranpura (Sem V), Advik Divekar (Sem V)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Faculty mentor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[to fill]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github.com/HeetRanpura/Genesis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1.0, 27 October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1.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CE6" w:sz="4"/>
              <w:left w:val="single" w:color="B9CCE6" w:sz="4"/>
              <w:bottom w:val="single" w:color="B9CCE6" w:sz="4"/>
              <w:right w:val="single" w:color="B9CCE6" w:sz="4"/>
            </w:tcBorders>
            <w:shd w:fill="EEF3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Normal"/>
              <w:spacing w:after="80"/>
            </w:pPr>
            <w:r>
              <w:rPr>
                <w:rFonts w:ascii="Arial" w:cs="Arial" w:eastAsia="Arial" w:hAnsi="Arial"/>
                <w:b/>
                <w:bCs/>
                <w:color w:val="1F4E8C"/>
                <w:sz w:val="21"/>
                <w:szCs w:val="21"/>
              </w:rPr>
              <w:t xml:space="preserve">Problem in one paragraph</w:t>
            </w:r>
          </w:p>
          <w:p>
            <w:pPr>
              <w:pStyle w:val="Normal"/>
              <w:spacing w:after="6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many AI agents share a world, do they develop social organisation (grouping, sharing, signalling, division of labour) on their own, or only when their designers reward it? Most multi-agent reinforcement-learning studies put a social term into the reward, so the answer is built in.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GENESIS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removes every social term: each agent is rewarded only for keeping its own body near a healthy set-point. We build the world, the learners and the measurement tools needed to see what social structure, if any, appears, and in what order.</w:t>
            </w:r>
          </w:p>
        </w:tc>
      </w:tr>
    </w:tbl>
    <w:p>
      <w:pPr>
        <w:pStyle w:val="Normal"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report fixes the problem statement, research questions, scope, constraints and success criteria for the VIP project. The project sits in the VIP domain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Artificial Intelligence &amp; Data Systems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2. Background and motivation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1B1B1A"/>
          <w:sz w:val="25"/>
          <w:szCs w:val="25"/>
        </w:rPr>
        <w:t xml:space="preserve">2.1 Cooperation is usually specified, not discovered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Influential multi-agent RL work studies cooperation by changing the reward: shared team rewards, inequity-averse utilities [Hughes2018], rewards for influencing others [Jaques2019], or communication objectives [Foerster2016; Lazaridou2017]. These designs are useful for engineering cooperative systems, but they cannot tell us whether cooperation would emerge without being asked for. Sequential social dilemmas [Leibo2017; Perolat2017] come closest to selfish rewards, but their environments are built around a specific dilemma.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1B1B1A"/>
          <w:sz w:val="25"/>
          <w:szCs w:val="25"/>
        </w:rPr>
        <w:t xml:space="preserve">2.2 Why the question matters beyond the lab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Multi-agent AI deployments.</w:t>
      </w:r>
      <w:r>
        <w:rPr>
          <w:rFonts w:ascii="Arial" w:cs="Arial" w:eastAsia="Arial" w:hAnsi="Arial"/>
          <w:sz w:val="21"/>
          <w:szCs w:val="21"/>
        </w:rPr>
        <w:t xml:space="preserve"> Autonomous agents (trading systems, fleets of robots, LLM-based assistants acting on the web) increasingly share environments. Knowing which collective behaviours appear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without</w:t>
      </w:r>
      <w:r>
        <w:rPr>
          <w:rFonts w:ascii="Arial" w:cs="Arial" w:eastAsia="Arial" w:hAnsi="Arial"/>
          <w:sz w:val="21"/>
          <w:szCs w:val="21"/>
        </w:rPr>
        <w:t xml:space="preserve"> being designed in is a safety question: emergent coordination can be beneficial or harmful.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Computational social science.</w:t>
      </w:r>
      <w:r>
        <w:rPr>
          <w:rFonts w:ascii="Arial" w:cs="Arial" w:eastAsia="Arial" w:hAnsi="Arial"/>
          <w:sz w:val="21"/>
          <w:szCs w:val="21"/>
        </w:rPr>
        <w:t xml:space="preserve"> Agent-based models such as Sugarscape [Epstein1996] show that simple rules can produce social patterns. Learning agents let us ask the same question without hand-writing the rules.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Origins of human social organisation.</w:t>
      </w:r>
      <w:r>
        <w:rPr>
          <w:rFonts w:ascii="Arial" w:cs="Arial" w:eastAsia="Arial" w:hAnsi="Arial"/>
          <w:sz w:val="21"/>
          <w:szCs w:val="21"/>
        </w:rPr>
        <w:t xml:space="preserve"> Human prehistory shows a broad order of social innovations. A testbed where social structure must emerge from survival pressure allows careful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structural analogies</w:t>
      </w:r>
      <w:r>
        <w:rPr>
          <w:rFonts w:ascii="Arial" w:cs="Arial" w:eastAsia="Arial" w:hAnsi="Arial"/>
          <w:sz w:val="21"/>
          <w:szCs w:val="21"/>
        </w:rPr>
        <w:t xml:space="preserve"> (never claims of equivalence) with that record.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Methodology.</w:t>
      </w:r>
      <w:r>
        <w:rPr>
          <w:rFonts w:ascii="Arial" w:cs="Arial" w:eastAsia="Arial" w:hAnsi="Arial"/>
          <w:sz w:val="21"/>
          <w:szCs w:val="21"/>
        </w:rPr>
        <w:t xml:space="preserve"> Deep RL results are fragile across seeds and reporting choices [Henderson2018; Agarwal2021]. A testbed with preregistration [Nosek2018], held-out worlds and baselines in every comparison is itself a contribution.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v01_problem_context.png" descr="Figure 1. The research problem: common designs specify social structure in the objective; GENESIS removes it and measures what remains." title="Figure 1. The research problem: common designs specify social structure in the objective; GENESIS removes it and measures what rema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Figure 1. The research problem: common designs specify social structure in the objective; GENESIS removes it and measures what remains.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3. Problem statement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Design, build and validate a reproducible artificial-life testbed in which a population of learning agents, rewarded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only</w:t>
      </w:r>
      <w:r>
        <w:rPr>
          <w:rFonts w:ascii="Arial" w:cs="Arial" w:eastAsia="Arial" w:hAnsi="Arial"/>
          <w:sz w:val="21"/>
          <w:szCs w:val="21"/>
        </w:rPr>
        <w:t xml:space="preserve"> for their own homeostasis, lives in a seeded, seasonal foraging ecology; and use it to measure, against baselines and null models, whether and how social organisation emerges.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4. Research questions and hypotheses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791"/>
        <w:gridCol w:w="4513"/>
      </w:tblGrid>
      <w:tr>
        <w:trPr>
          <w:tblHeader/>
        </w:trPr>
        <w:tc>
          <w:tcPr>
            <w:tcW w:type="dxa" w:w="72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is answered</w:t>
            </w:r>
          </w:p>
        </w:tc>
      </w:tr>
      <w:tr>
        <w:tc>
          <w:tcPr>
            <w:tcW w:type="dxa" w:w="72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RQ1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survival-only learners outlive hand-written foragers?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Deaths per agent-year on held-out worlds 0-4 vs random, greedy and heuristic baselines (H1, H2).</w:t>
            </w:r>
          </w:p>
        </w:tc>
      </w:tr>
      <w:tr>
        <w:tc>
          <w:tcPr>
            <w:tcW w:type="dxa" w:w="72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RQ2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Does memory change behaviour where resources leave view?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 vs memoryless ablation: thirst deaths and all-cause mortality (H3).</w:t>
            </w:r>
          </w:p>
        </w:tc>
      </w:tr>
      <w:tr>
        <w:tc>
          <w:tcPr>
            <w:tcW w:type="dxa" w:w="72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RQ3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Does any social organisation appear without social reward?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hunts, food transfer, aggregation against habitat and place-preference nulls, social-blinding ablation (H4, H7).</w:t>
            </w:r>
          </w:p>
        </w:tc>
      </w:tr>
      <w:tr>
        <w:tc>
          <w:tcPr>
            <w:tcW w:type="dxa" w:w="72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RQ4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structure appears, in what order, and under which capabilities?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Capability switches (communication, reproduction, social learning) and a cited human timeline used as structural analogy (Stages 3-4, Semester VI).</w:t>
            </w:r>
          </w:p>
        </w:tc>
      </w:tr>
    </w:tbl>
    <w:p>
      <w:pPr>
        <w:pStyle w:val="Normal"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Hypotheses are preregistered in </w:t>
      </w:r>
      <w:r>
        <w:rPr>
          <w:rFonts w:ascii="Courier New" w:cs="Courier New" w:eastAsia="Courier New" w:hAnsi="Courier New"/>
          <w:sz w:val="19"/>
          <w:szCs w:val="19"/>
        </w:rPr>
        <w:t xml:space="preserve">docs/PREREGISTRATION.md</w:t>
      </w:r>
      <w:r>
        <w:rPr>
          <w:rFonts w:ascii="Arial" w:cs="Arial" w:eastAsia="Arial" w:hAnsi="Arial"/>
          <w:sz w:val="21"/>
          <w:szCs w:val="21"/>
        </w:rPr>
        <w:t xml:space="preserve"> with dated entries, written before the runs that test them; corrections are appended, never edited in place.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5. Objectives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4332"/>
        <w:gridCol w:w="3611"/>
      </w:tblGrid>
      <w:tr>
        <w:trPr>
          <w:tblHeader/>
        </w:trP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Semester</w:t>
            </w:r>
          </w:p>
        </w:tc>
        <w:tc>
          <w:tcPr>
            <w:tcW w:type="dxa" w:w="433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Objective</w:t>
            </w:r>
          </w:p>
        </w:tc>
        <w:tc>
          <w:tcPr>
            <w:tcW w:type="dxa" w:w="361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 of done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</w:t>
            </w:r>
          </w:p>
        </w:tc>
        <w:tc>
          <w:tcPr>
            <w:tcW w:type="dxa" w:w="433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the problem, survey literature and tools, fix the concept and team roles</w:t>
            </w:r>
          </w:p>
        </w:tc>
        <w:tc>
          <w:tcPr>
            <w:tcW w:type="dxa" w:w="361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report; literature survey; concept report; team charter; concept presentation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</w:t>
            </w:r>
          </w:p>
        </w:tc>
        <w:tc>
          <w:tcPr>
            <w:tcW w:type="dxa" w:w="433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the engine, learners, recorder and viewer; test and validate them</w:t>
            </w:r>
          </w:p>
        </w:tc>
        <w:tc>
          <w:tcPr>
            <w:tcW w:type="dxa" w:w="361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 100k env steps/min with observations at 1,000 agents; bit-identical seeded runs; held-out evaluation; CI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</w:t>
            </w:r>
          </w:p>
        </w:tc>
        <w:tc>
          <w:tcPr>
            <w:tcW w:type="dxa" w:w="433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Answer RQ1-RQ2 with replication</w:t>
            </w:r>
          </w:p>
        </w:tc>
        <w:tc>
          <w:tcPr>
            <w:tcW w:type="dxa" w:w="361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Preregistered 3-seed experiment (H2/H3) with decision rules applied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</w:t>
            </w:r>
          </w:p>
        </w:tc>
        <w:tc>
          <w:tcPr>
            <w:tcW w:type="dxa" w:w="433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 social structure (RQ3-RQ4), integrate, publish</w:t>
            </w:r>
          </w:p>
        </w:tc>
        <w:tc>
          <w:tcPr>
            <w:tcW w:type="dxa" w:w="361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 3 metrics with synthetic-data tests; arXiv preprint; final demonstration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6. Scope and constraints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1B1B1A"/>
          <w:sz w:val="25"/>
          <w:szCs w:val="25"/>
        </w:rPr>
        <w:t xml:space="preserve">6.1 In scope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 procedurally generated 256 x 256 island with terrain, rivers, lakes, vegetation, three animal species, weather, seasons, fire and floods.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Agents with egocentric, occluded vision and a four-variable body (energy, hydration, health, warmth).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Parameter-shared PPO learners with and without memory; three non-learning baselines.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Flight recording of every agent at every tick, exact replay, statistical analysis, a live 3-D viewer.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1B1B1A"/>
          <w:sz w:val="25"/>
          <w:szCs w:val="25"/>
        </w:rPr>
        <w:t xml:space="preserve">6.2 Out of scope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Any reward term that depends on other agents (forbidden by design, enforced by a unit test).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Scripted agent behaviour (animals are scripted because they are the environment; agents never are).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Claims that agents have feelings or human-like minds; human comparisons are structural analogies only.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Large-cluster training: everything must run on student laptops.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1B1B1A"/>
          <w:sz w:val="25"/>
          <w:szCs w:val="25"/>
        </w:rPr>
        <w:t xml:space="preserve">6.3 Hard rules (non-negotiable)</w:t>
      </w:r>
    </w:p>
    <w:p>
      <w:pPr>
        <w:pStyle w:val="Normal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Reward = own homeostasis only, plus a death penalty.</w:t>
      </w:r>
    </w:p>
    <w:p>
      <w:pPr>
        <w:pStyle w:val="Normal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Every capability (memory, communication, reproduction, social learning, ...) is a configuration switch, off by default.</w:t>
      </w:r>
    </w:p>
    <w:p>
      <w:pPr>
        <w:pStyle w:val="Normal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Every run is seeded and reproducible; randomness inside the engine comes only from a counter-based hash RNG.</w:t>
      </w:r>
    </w:p>
    <w:p>
      <w:pPr>
        <w:pStyle w:val="Normal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 scripted agent behaviour.</w:t>
      </w:r>
    </w:p>
    <w:p>
      <w:pPr>
        <w:pStyle w:val="Normal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Baselines appear in every comparison; negative results are logged, never dropped.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1B1B1A"/>
          <w:sz w:val="25"/>
          <w:szCs w:val="25"/>
        </w:rPr>
        <w:t xml:space="preserve">6.4 Resource constraints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3881"/>
        <w:gridCol w:w="3881"/>
      </w:tblGrid>
      <w:tr>
        <w:trPr>
          <w:tblHeader/>
        </w:trPr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Consequence for the design</w:t>
            </w:r>
          </w:p>
        </w:tc>
      </w:tr>
      <w:tr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laptops: MacBook Air M4 (fanless, 16 GB) and MacBook Pro M3 Pro (18 GB); no CUDA GPU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Numba-compiled CPU engine; PyTorch on Apple-silicon GPU (MPS); one shared network for all agents</w:t>
            </w:r>
          </w:p>
        </w:tc>
      </w:tr>
      <w:tr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Heat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Air throttles 15-30% under sustained load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runs on the M3 Pro; benchmarks compared only as interleaved A/B runs</w:t>
            </w:r>
          </w:p>
        </w:tc>
      </w:tr>
      <w:tr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Disk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~10-15 GB free on the Air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Recording can be thinned (1 rollout in k) and stops automatically below a free-space threshold</w:t>
            </w:r>
          </w:p>
        </w:tc>
      </w:tr>
      <w:tr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Course semesters; two members</w:t>
            </w:r>
          </w:p>
        </w:tc>
        <w:tc>
          <w:tcPr>
            <w:tcW w:type="dxa" w:w="388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Staged plan with acceptance criteria per stage; handoff documents between sessions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7.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rPr>
          <w:tblHeader/>
        </w:trPr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Stakeholder</w:t>
            </w:r>
          </w:p>
        </w:tc>
        <w:tc>
          <w:tcPr>
            <w:tcW w:type="dxa" w:w="559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Interest</w:t>
            </w:r>
          </w:p>
        </w:tc>
      </w:tr>
      <w:tr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Faculty mentor / VIP evaluators</w:t>
            </w:r>
          </w:p>
        </w:tc>
        <w:tc>
          <w:tcPr>
            <w:tcW w:type="dxa" w:w="559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depth, rigour, documentation, teamwork</w:t>
            </w:r>
          </w:p>
        </w:tc>
      </w:tr>
      <w:tr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MARL and artificial-life researchers</w:t>
            </w:r>
          </w:p>
        </w:tc>
        <w:tc>
          <w:tcPr>
            <w:tcW w:type="dxa" w:w="559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testbed where social behaviour is measured, not specified; reusable engine and protocol</w:t>
            </w:r>
          </w:p>
        </w:tc>
      </w:tr>
      <w:tr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AI-safety community</w:t>
            </w:r>
          </w:p>
        </w:tc>
        <w:tc>
          <w:tcPr>
            <w:tcW w:type="dxa" w:w="559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on which collective behaviours appear without being designed in</w:t>
            </w:r>
          </w:p>
        </w:tc>
      </w:tr>
      <w:tr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Future VIP members (Sem IV juniors)</w:t>
            </w:r>
          </w:p>
        </w:tc>
        <w:tc>
          <w:tcPr>
            <w:tcW w:type="dxa" w:w="559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documented codebase, study guide (TEACHER.md) and onboarding path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8. Success criteria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Engineering:</w:t>
      </w:r>
      <w:r>
        <w:rPr>
          <w:rFonts w:ascii="Arial" w:cs="Arial" w:eastAsia="Arial" w:hAnsi="Arial"/>
          <w:sz w:val="21"/>
          <w:szCs w:val="21"/>
        </w:rPr>
        <w:t xml:space="preserve"> &gt;= 100k environment steps per minute including observations at 1,000 agents on a laptop; bit-identical results for the same seed; every world rule unit-tested.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Science:</w:t>
      </w:r>
      <w:r>
        <w:rPr>
          <w:rFonts w:ascii="Arial" w:cs="Arial" w:eastAsia="Arial" w:hAnsi="Arial"/>
          <w:sz w:val="21"/>
          <w:szCs w:val="21"/>
        </w:rPr>
        <w:t xml:space="preserve"> every claim made on held-out worlds against all three baselines, with bootstrap confidence intervals and effect sizes, under preregistered decision rules.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Honesty:</w:t>
      </w:r>
      <w:r>
        <w:rPr>
          <w:rFonts w:ascii="Arial" w:cs="Arial" w:eastAsia="Arial" w:hAnsi="Arial"/>
          <w:sz w:val="21"/>
          <w:szCs w:val="21"/>
        </w:rPr>
        <w:t xml:space="preserve"> emergence is never claimed without measurement against a null model; negative results are reported.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Team:</w:t>
      </w:r>
      <w:r>
        <w:rPr>
          <w:rFonts w:ascii="Arial" w:cs="Arial" w:eastAsia="Arial" w:hAnsi="Arial"/>
          <w:sz w:val="21"/>
          <w:szCs w:val="21"/>
        </w:rPr>
        <w:t xml:space="preserve"> documented handoffs, reviewed pull requests, a test suite that runs on every change.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9. Ethical considerations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 human participants or personal data are involved.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Comparisons with human prehistory are framed as structural analogies and cite their sources.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Language about agents avoids anthropomorphism: value estimates and probe results are functional correlates, never feelings.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Compute is kept small (laptops); experiment scale is stated next to every claim.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References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[Agarwal2021] R. Agarwal, M. Schwarzer, P. S. Castro, A. Courville, M. G. Bellemare. Deep reinforcement learning at the edge of the statistical precipice. NeurIPS 2021 (outstanding paper). arXiv:2108.13264.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[Epstein1996] J. M. Epstein, R. Axtell. Growing Artificial Societies: Social Science from the Bottom Up. MIT Press, 1996.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[Foerster2016] J. N. Foerster, Y. M. Assael, N. de Freitas, S. Whiteson. Learning to communicate with deep multi-agent reinforcement learning. NeurIPS 2016.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[Henderson2018] P. Henderson, R. Islam, P. Bachman, J. Pineau, D. Precup, D. Meger. Deep reinforcement learning that matters. AAAI 2018, 32(1):3207-3214.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[Hughes2018] E. Hughes, J. Z. Leibo, et al. Inequity aversion improves cooperation in intertemporal social dilemmas. NeurIPS 2018 (NeurIPS 31), 3326-3336.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[Jaques2019] N. Jaques, A. Lazaridou, E. Hughes, C. Gulcehre, P. Ortega, D. Strouse, J. Z. Leibo, N. de Freitas. Social influence as intrinsic motivation for multi-agent deep reinforcement learning. ICML 2019, PMLR 97:3040-3049.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[Lazaridou2017] A. Lazaridou, A. Peysakhovich, M. Baroni. Multi-agent cooperation and the emergence of (natural) language. ICLR 2017.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[Leibo2017] J. Z. Leibo, V. Zambaldi, M. Lanctot, J. Marecki, T. Graepel. Multi-agent reinforcement learning in sequential social dilemmas. AAMAS 2017, 464-473. arXiv:1702.03037.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[Nosek2018] B. A. Nosek, C. R. Ebersole, A. C. DeHaven, D. T. Mellor. The preregistration revolution. PNAS 115(11):2600-2606, 2018. doi:10.1073/pnas.1708274114.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18"/>
          <w:szCs w:val="18"/>
        </w:rPr>
        <w:t xml:space="preserve">[Perolat2017] J. Pérolat, J. Z. Leibo, V. Zambaldi, C. Beattie, K. Tuyls, T. Graepel. A multi-agent reinforcement learning model of common-pool resource appropriation. NeurIPS 2017 (NIPS 30), 3644-3653.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98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984"/>
        <w:sz w:val="16"/>
        <w:szCs w:val="16"/>
      </w:rPr>
      <w:t xml:space="preserve">GENESIS  |  Problem Definition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88"/>
    </w:pPr>
    <w:rPr>
      <w:rFonts w:ascii="Arial" w:cs="Arial" w:eastAsia="Arial" w:hAnsi="Arial"/>
      <w:b w:val="false"/>
      <w:bCs w:val="false"/>
      <w:color w:val="1B1B1A"/>
      <w:sz w:val="21"/>
      <w:szCs w:val="21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1B1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251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e5c8a02f3e23c0bd45f05a27239248e9f80aa9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Report</dc:title>
  <dc:creator>Heet Ranpura, Advik Divekar</dc:creator>
  <dc:description>GENESIS VIP report: Problem Definition Report</dc:description>
  <cp:lastModifiedBy>Un-named</cp:lastModifiedBy>
  <cp:revision>1</cp:revision>
  <dcterms:created xsi:type="dcterms:W3CDTF">2026-10-27T15:25:51.302Z</dcterms:created>
  <dcterms:modified xsi:type="dcterms:W3CDTF">2026-10-27T15:25:51.306Z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