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left"/>
      </w:pPr>
      <w:r>
        <w:rPr>
          <w:rFonts w:ascii="Arial" w:cs="Arial" w:eastAsia="Arial" w:hAnsi="Arial"/>
          <w:b/>
          <w:bCs/>
          <w:color w:val="1F4E8C"/>
          <w:spacing w:val="40"/>
          <w:sz w:val="28"/>
          <w:szCs w:val="28"/>
        </w:rPr>
        <w:t xml:space="preserve">GENESIS</w:t>
      </w:r>
    </w:p>
    <w:p>
      <w:pPr>
        <w:spacing w:after="120"/>
        <w:jc w:val="left"/>
      </w:pPr>
      <w:r>
        <w:rPr>
          <w:rFonts w:ascii="Arial" w:cs="Arial" w:eastAsia="Arial" w:hAnsi="Arial"/>
          <w:color w:val="52514E"/>
          <w:sz w:val="22"/>
          <w:szCs w:val="22"/>
        </w:rPr>
        <w:t xml:space="preserve">Emergent social organisation in survival-only learning agents</w:t>
      </w:r>
    </w:p>
    <w:p>
      <w:pPr>
        <w:pBdr>
          <w:bottom w:val="single" w:color="1F4E8C" w:sz="8" w:space="8"/>
        </w:pBdr>
        <w:spacing w:before="600" w:after="200"/>
      </w:pPr>
      <w:r>
        <w:rPr>
          <w:rFonts w:ascii="Arial" w:cs="Arial" w:eastAsia="Arial" w:hAnsi="Arial"/>
          <w:b/>
          <w:bCs/>
          <w:color w:val="1B1B1A"/>
          <w:sz w:val="48"/>
          <w:szCs w:val="48"/>
        </w:rPr>
        <w:t xml:space="preserve">Literature Review &amp; Technology Survey</w:t>
      </w:r>
    </w:p>
    <w:p>
      <w:pPr>
        <w:spacing w:after="120"/>
        <w:jc w:val="left"/>
      </w:pPr>
      <w:r>
        <w:rPr>
          <w:rFonts w:ascii="Arial" w:cs="Arial" w:eastAsia="Arial" w:hAnsi="Arial"/>
          <w:color w:val="52514E"/>
          <w:sz w:val="24"/>
          <w:szCs w:val="24"/>
        </w:rPr>
        <w:t xml:space="preserve">Prior work, the gap GENESIS fills, and the tools chosen</w:t>
      </w:r>
    </w:p>
    <w:p>
      <w:pPr>
        <w:spacing w:before="9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6726"/>
      </w:tblGrid>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Course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Design Experience I (Semester IV), VIP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Institute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MPSTME, NMIMS (Vertically Integrated Projects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Domain</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Artificial Intelligence &amp; Data Systems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Team</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Heet Ranpura (Sem V), Advik Divekar (Sem V)</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Faculty mentor</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[to fill]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Repository</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github.com/HeetRanpura/Genesis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Version / date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1.0, 27 October 2026</w:t>
            </w:r>
          </w:p>
        </w:tc>
      </w:tr>
    </w:tbl>
    <w:p>
      <w:r>
        <w:br w:type="page"/>
      </w:r>
    </w:p>
    <w:p>
      <w:pPr>
        <w:pStyle w:val="Heading1"/>
        <w:keepNext/>
      </w:pPr>
      <w:r>
        <w:rPr>
          <w:rFonts w:ascii="Arial" w:cs="Arial" w:eastAsia="Arial" w:hAnsi="Arial"/>
          <w:b/>
          <w:bCs/>
          <w:color w:val="1F4E8C"/>
          <w:sz w:val="32"/>
          <w:szCs w:val="32"/>
        </w:rPr>
        <w:t xml:space="preserve">1. Method</w:t>
      </w:r>
    </w:p>
    <w:p>
      <w:pPr>
        <w:pStyle w:val="Normal"/>
        <w:spacing w:after="120" w:line="288"/>
      </w:pPr>
      <w:r>
        <w:rPr>
          <w:rFonts w:ascii="Arial" w:cs="Arial" w:eastAsia="Arial" w:hAnsi="Arial"/>
          <w:sz w:val="21"/>
          <w:szCs w:val="21"/>
        </w:rPr>
        <w:t xml:space="preserve">We surveyed work on (a) artificial life and agent-based societies, (b) social dilemmas and cooperation in multi-agent RL, (c) emergent communication, (d) open-ended multi-agent environments, (e) social and cultural learning, (f) homeostatic reward, and (g) methodology for RL experiments. Sources were found through NeurIPS, ICML, ICLR, AAMAS, eLife and Nature-family journals, arXiv, and the reference lists of key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CE6" w:sz="4"/>
              <w:left w:val="single" w:color="B9CCE6" w:sz="4"/>
              <w:bottom w:val="single" w:color="B9CCE6" w:sz="4"/>
              <w:right w:val="single" w:color="B9CCE6" w:sz="4"/>
            </w:tcBorders>
            <w:shd w:fill="EEF3FA" w:color="auto" w:val="clear"/>
            <w:tcMar>
              <w:top w:type="dxa" w:w="120"/>
              <w:left w:type="dxa" w:w="180"/>
              <w:bottom w:type="dxa" w:w="120"/>
              <w:right w:type="dxa" w:w="180"/>
            </w:tcMar>
          </w:tcPr>
          <w:p>
            <w:pPr>
              <w:pStyle w:val="Normal"/>
              <w:spacing w:after="80"/>
            </w:pPr>
            <w:r>
              <w:rPr>
                <w:rFonts w:ascii="Arial" w:cs="Arial" w:eastAsia="Arial" w:hAnsi="Arial"/>
                <w:b/>
                <w:bCs/>
                <w:color w:val="1F4E8C"/>
                <w:sz w:val="21"/>
                <w:szCs w:val="21"/>
              </w:rPr>
              <w:t xml:space="preserve">Verification policy</w:t>
            </w:r>
          </w:p>
          <w:p>
            <w:pPr>
              <w:pStyle w:val="Normal"/>
              <w:spacing w:after="60" w:line="276"/>
            </w:pPr>
            <w:r>
              <w:rPr>
                <w:rFonts w:ascii="Arial" w:cs="Arial" w:eastAsia="Arial" w:hAnsi="Arial"/>
                <w:sz w:val="21"/>
                <w:szCs w:val="21"/>
              </w:rPr>
              <w:t xml:space="preserve">Every reference below was checked online on 27 October 2026 against the publisher, proceedings or arXiv record (authors, title, venue, year, and volume/pages where listed). Details that could not be confirmed were removed rather than guessed; the reference table marks each entry's status. An earlier draft of the project paper had 24 references written from memory; this list supersedes it.</w:t>
            </w:r>
          </w:p>
        </w:tc>
      </w:tr>
    </w:tbl>
    <w:p>
      <w:pPr>
        <w:pStyle w:val="Heading1"/>
        <w:keepNext/>
      </w:pPr>
      <w:r>
        <w:rPr>
          <w:rFonts w:ascii="Arial" w:cs="Arial" w:eastAsia="Arial" w:hAnsi="Arial"/>
          <w:b/>
          <w:bCs/>
          <w:color w:val="1F4E8C"/>
          <w:sz w:val="32"/>
          <w:szCs w:val="32"/>
        </w:rPr>
        <w:t xml:space="preserve">2. Themes in the literature</w:t>
      </w:r>
    </w:p>
    <w:p>
      <w:pPr>
        <w:pStyle w:val="Heading2"/>
        <w:keepNext/>
      </w:pPr>
      <w:r>
        <w:rPr>
          <w:rFonts w:ascii="Arial" w:cs="Arial" w:eastAsia="Arial" w:hAnsi="Arial"/>
          <w:b/>
          <w:bCs/>
          <w:color w:val="1B1B1A"/>
          <w:sz w:val="25"/>
          <w:szCs w:val="25"/>
        </w:rPr>
        <w:t xml:space="preserve">2.1 Artificial life and agent-based societies</w:t>
      </w:r>
    </w:p>
    <w:p>
      <w:pPr>
        <w:pStyle w:val="Normal"/>
        <w:spacing w:after="120" w:line="288"/>
      </w:pPr>
      <w:r>
        <w:rPr>
          <w:rFonts w:ascii="Arial" w:cs="Arial" w:eastAsia="Arial" w:hAnsi="Arial"/>
          <w:sz w:val="21"/>
          <w:szCs w:val="21"/>
        </w:rPr>
        <w:t xml:space="preserve">PolyWorld [Yaeger1994] combined genetics, metabolism, Hebbian neural networks and vision in one artificial ecology and reported emergent "species" with distinct survival strategies, including flocking and foraging. Sugarscape [Epstein1996] showed that hand-written agent rules on a resource landscape produce trade, migration and inequality. Both establish the value of growing societies from the bottom up; neither uses modern deep RL, and Sugarscape's behaviour is written by the modeller.</w:t>
      </w:r>
    </w:p>
    <w:p>
      <w:pPr>
        <w:pStyle w:val="Heading2"/>
        <w:keepNext/>
      </w:pPr>
      <w:r>
        <w:rPr>
          <w:rFonts w:ascii="Arial" w:cs="Arial" w:eastAsia="Arial" w:hAnsi="Arial"/>
          <w:b/>
          <w:bCs/>
          <w:color w:val="1B1B1A"/>
          <w:sz w:val="25"/>
          <w:szCs w:val="25"/>
        </w:rPr>
        <w:t xml:space="preserve">2.2 Social dilemmas in multi-agent RL</w:t>
      </w:r>
    </w:p>
    <w:p>
      <w:pPr>
        <w:pStyle w:val="Normal"/>
        <w:spacing w:after="120" w:line="288"/>
      </w:pPr>
      <w:r>
        <w:rPr>
          <w:rFonts w:ascii="Arial" w:cs="Arial" w:eastAsia="Arial" w:hAnsi="Arial"/>
          <w:sz w:val="21"/>
          <w:szCs w:val="21"/>
        </w:rPr>
        <w:t xml:space="preserve">Leibo et al. [Leibo2017] introduced sequential social dilemmas (Gathering, Wolfpack), in which independent deep Q-learners with selfish rewards show cooperation or conflict depending on resource scarcity. Pérolat et al. [Perolat2017] used the same approach to model common-pool resource appropriation, linking exclusion, sustainability and inequality. Later work added social terms to the reward to increase cooperation: inequity aversion [Hughes2018] and causal social influence [Jaques2019]. Melting Pot [Leibo2021] turned many such scenarios into an evaluation suite focused on generalisation to new co-players.</w:t>
      </w:r>
    </w:p>
    <w:p>
      <w:pPr>
        <w:pStyle w:val="Heading2"/>
        <w:keepNext/>
      </w:pPr>
      <w:r>
        <w:rPr>
          <w:rFonts w:ascii="Arial" w:cs="Arial" w:eastAsia="Arial" w:hAnsi="Arial"/>
          <w:b/>
          <w:bCs/>
          <w:color w:val="1B1B1A"/>
          <w:sz w:val="25"/>
          <w:szCs w:val="25"/>
        </w:rPr>
        <w:t xml:space="preserve">2.3 Emergent communication</w:t>
      </w:r>
    </w:p>
    <w:p>
      <w:pPr>
        <w:pStyle w:val="Normal"/>
        <w:spacing w:after="120" w:line="288"/>
      </w:pPr>
      <w:r>
        <w:rPr>
          <w:rFonts w:ascii="Arial" w:cs="Arial" w:eastAsia="Arial" w:hAnsi="Arial"/>
          <w:sz w:val="21"/>
          <w:szCs w:val="21"/>
        </w:rPr>
        <w:t xml:space="preserve">Foerster et al. [Foerster2016] and Lazaridou et al. [Lazaridou2017] showed agents can learn communication protocols when a shared objective rewards successful coordination. Lowe et al. [Lowe2019] warned that common metrics can report "communication" where messages have no effect on behaviour, which motivates GENESIS's insistence on causal and null-model checks before any claim.</w:t>
      </w:r>
    </w:p>
    <w:p>
      <w:pPr>
        <w:pStyle w:val="Heading2"/>
        <w:keepNext/>
      </w:pPr>
      <w:r>
        <w:rPr>
          <w:rFonts w:ascii="Arial" w:cs="Arial" w:eastAsia="Arial" w:hAnsi="Arial"/>
          <w:b/>
          <w:bCs/>
          <w:color w:val="1B1B1A"/>
          <w:sz w:val="25"/>
          <w:szCs w:val="25"/>
        </w:rPr>
        <w:t xml:space="preserve">2.4 Open-ended multi-agent environments</w:t>
      </w:r>
    </w:p>
    <w:p>
      <w:pPr>
        <w:pStyle w:val="Normal"/>
        <w:spacing w:after="120" w:line="288"/>
      </w:pPr>
      <w:r>
        <w:rPr>
          <w:rFonts w:ascii="Arial" w:cs="Arial" w:eastAsia="Arial" w:hAnsi="Arial"/>
          <w:sz w:val="21"/>
          <w:szCs w:val="21"/>
        </w:rPr>
        <w:t xml:space="preserve">Hide-and-seek [Baker2020] produced tool use through an autocurriculum, under team rewards. Neural MMO [Suarez2019] provides a persistent world with many agents competing for resources; it found that larger populations push agents to fill different niches. Crafter [Hafner2022] benchmarks a spectrum of survival skills for a single agent. Johanson et al. [Johanson2022] observed emergent bartering in a market-like environment.</w:t>
      </w:r>
    </w:p>
    <w:p>
      <w:pPr>
        <w:pStyle w:val="Heading2"/>
        <w:keepNext/>
      </w:pPr>
      <w:r>
        <w:rPr>
          <w:rFonts w:ascii="Arial" w:cs="Arial" w:eastAsia="Arial" w:hAnsi="Arial"/>
          <w:b/>
          <w:bCs/>
          <w:color w:val="1B1B1A"/>
          <w:sz w:val="25"/>
          <w:szCs w:val="25"/>
        </w:rPr>
        <w:t xml:space="preserve">2.5 Social and cultural learning</w:t>
      </w:r>
    </w:p>
    <w:p>
      <w:pPr>
        <w:pStyle w:val="Normal"/>
        <w:spacing w:after="120" w:line="288"/>
      </w:pPr>
      <w:r>
        <w:rPr>
          <w:rFonts w:ascii="Arial" w:cs="Arial" w:eastAsia="Arial" w:hAnsi="Arial"/>
          <w:sz w:val="21"/>
          <w:szCs w:val="21"/>
        </w:rPr>
        <w:t xml:space="preserve">Ndousse et al. [Ndousse2021] found that independent RL agents usually fail to learn from experts unless the environment and an auxiliary loss support it. Bhoopchand et al. [Bhoopchand2023] demonstrated few-shot imitation as cultural transmission in 3-D worlds. Duéñez-Guzmán et al. [Duenez2023] argue that a social path is needed for human-like AI. These works show what social learning can look like and what support it needs, which GENESIS will test as switchable capabilities.</w:t>
      </w:r>
    </w:p>
    <w:p>
      <w:pPr>
        <w:pStyle w:val="Heading2"/>
        <w:keepNext/>
      </w:pPr>
      <w:r>
        <w:rPr>
          <w:rFonts w:ascii="Arial" w:cs="Arial" w:eastAsia="Arial" w:hAnsi="Arial"/>
          <w:b/>
          <w:bCs/>
          <w:color w:val="1B1B1A"/>
          <w:sz w:val="25"/>
          <w:szCs w:val="25"/>
        </w:rPr>
        <w:t xml:space="preserve">2.6 Homeostatic reward</w:t>
      </w:r>
    </w:p>
    <w:p>
      <w:pPr>
        <w:pStyle w:val="Normal"/>
        <w:spacing w:after="120" w:line="288"/>
      </w:pPr>
      <w:r>
        <w:rPr>
          <w:rFonts w:ascii="Arial" w:cs="Arial" w:eastAsia="Arial" w:hAnsi="Arial"/>
          <w:sz w:val="21"/>
          <w:szCs w:val="21"/>
        </w:rPr>
        <w:t xml:space="preserve">Keramati and Gutkin [Keramati2014] define reward as the reduction of deviation from a physiological set-point and prove that maximising it is equivalent to maintaining homeostasis. GENESIS adopts this definition directly: r_t = D(h_t) - D(h_{t+1}) minus a death penalty, with D the distance below the set-point. Silver et al. [Silver2021] argue that reward maximisation may suffice for intelligence in general; GENESIS tests a narrow, measurable version of that claim for social behaviour.</w:t>
      </w:r>
    </w:p>
    <w:p>
      <w:pPr>
        <w:pStyle w:val="Heading2"/>
        <w:keepNext/>
      </w:pPr>
      <w:r>
        <w:rPr>
          <w:rFonts w:ascii="Arial" w:cs="Arial" w:eastAsia="Arial" w:hAnsi="Arial"/>
          <w:b/>
          <w:bCs/>
          <w:color w:val="1B1B1A"/>
          <w:sz w:val="25"/>
          <w:szCs w:val="25"/>
        </w:rPr>
        <w:t xml:space="preserve">2.7 LLM-based social simulation</w:t>
      </w:r>
    </w:p>
    <w:p>
      <w:pPr>
        <w:pStyle w:val="Normal"/>
        <w:spacing w:after="120" w:line="288"/>
      </w:pPr>
      <w:r>
        <w:rPr>
          <w:rFonts w:ascii="Arial" w:cs="Arial" w:eastAsia="Arial" w:hAnsi="Arial"/>
          <w:sz w:val="21"/>
          <w:szCs w:val="21"/>
        </w:rPr>
        <w:t xml:space="preserve">Generative agents [Park2023] simulate believable social life with large language models. Their social behaviour comes from language models trained on human text and from prompts, so it is supplied rather than learned from survival pressure; GENESIS is the opposite end of this spectrum.</w:t>
      </w:r>
    </w:p>
    <w:p>
      <w:pPr>
        <w:pStyle w:val="Heading2"/>
        <w:keepNext/>
      </w:pPr>
      <w:r>
        <w:rPr>
          <w:rFonts w:ascii="Arial" w:cs="Arial" w:eastAsia="Arial" w:hAnsi="Arial"/>
          <w:b/>
          <w:bCs/>
          <w:color w:val="1B1B1A"/>
          <w:sz w:val="25"/>
          <w:szCs w:val="25"/>
        </w:rPr>
        <w:t xml:space="preserve">2.8 Methodology for RL experiments</w:t>
      </w:r>
    </w:p>
    <w:p>
      <w:pPr>
        <w:pStyle w:val="Normal"/>
        <w:spacing w:after="120" w:line="288"/>
      </w:pPr>
      <w:r>
        <w:rPr>
          <w:rFonts w:ascii="Arial" w:cs="Arial" w:eastAsia="Arial" w:hAnsi="Arial"/>
          <w:sz w:val="21"/>
          <w:szCs w:val="21"/>
        </w:rPr>
        <w:t xml:space="preserve">Henderson et al. [Henderson2018] showed that seeds, implementations and reporting choices can change deep RL conclusions. Agarwal et al. [Agarwal2021] showed point estimates over few runs mislead, and recommend interval estimates. Nosek et al. [Nosek2018] argue for preregistration to separate confirmatory tests from exploration. GENESIS applies all three: multiple training seeds as the unit of replication, bootstrap intervals and effect sizes, and dated preregistration.</w:t>
      </w:r>
    </w:p>
    <w:p>
      <w:pPr>
        <w:pStyle w:val="Heading2"/>
        <w:keepNext/>
      </w:pPr>
      <w:r>
        <w:rPr>
          <w:rFonts w:ascii="Arial" w:cs="Arial" w:eastAsia="Arial" w:hAnsi="Arial"/>
          <w:b/>
          <w:bCs/>
          <w:color w:val="1B1B1A"/>
          <w:sz w:val="25"/>
          <w:szCs w:val="25"/>
        </w:rPr>
        <w:t xml:space="preserve">2.9 Algorithms used</w:t>
      </w:r>
    </w:p>
    <w:p>
      <w:pPr>
        <w:pStyle w:val="Normal"/>
        <w:spacing w:after="120" w:line="288"/>
      </w:pPr>
      <w:r>
        <w:rPr>
          <w:rFonts w:ascii="Arial" w:cs="Arial" w:eastAsia="Arial" w:hAnsi="Arial"/>
          <w:sz w:val="21"/>
          <w:szCs w:val="21"/>
        </w:rPr>
        <w:t xml:space="preserve">Learners use proximal policy optimisation [Schulman2017] with generalised advantage estimation [Schulman2016] and a GRU recurrent core [Cho2014]. Survival is analysed with Kaplan-Meier estimates [Kaplan1958], bootstrap intervals [Efron1993] and Hedges' g [Hedges1981].</w:t>
      </w:r>
    </w:p>
    <w:p>
      <w:r>
        <w:br w:type="page"/>
      </w:r>
    </w:p>
    <w:p>
      <w:pPr>
        <w:pStyle w:val="Heading1"/>
        <w:keepNext/>
      </w:pPr>
      <w:r>
        <w:rPr>
          <w:rFonts w:ascii="Arial" w:cs="Arial" w:eastAsia="Arial" w:hAnsi="Arial"/>
          <w:b/>
          <w:bCs/>
          <w:color w:val="1F4E8C"/>
          <w:sz w:val="32"/>
          <w:szCs w:val="32"/>
        </w:rPr>
        <w:t xml:space="preserve">3. Comparison and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625"/>
        <w:gridCol w:w="1805"/>
        <w:gridCol w:w="3159"/>
      </w:tblGrid>
      <w:tr>
        <w:trPr>
          <w:tblHeader/>
        </w:trPr>
        <w:tc>
          <w:tcPr>
            <w:tcW w:type="dxa" w:w="243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Work</w:t>
            </w:r>
          </w:p>
        </w:tc>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Reward / objective</w:t>
            </w:r>
          </w:p>
        </w:tc>
        <w:tc>
          <w:tcPr>
            <w:tcW w:type="dxa" w:w="180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Environment</w:t>
            </w:r>
          </w:p>
        </w:tc>
        <w:tc>
          <w:tcPr>
            <w:tcW w:type="dxa" w:w="3159"/>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What GENESIS takes / changes</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PolyWorld (1994), Sugarscape (1996)</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Evolution / hand-written rules</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Rich ecology</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Takes the ecological richness; replaces scripted rules with RL</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Sequential social dilemmas (2017)</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Selfish</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Small dilemma games</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Takes selfish reward; removes the built-in dilemma framing</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Inequity aversion (2018), social influence (2019)</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Social term added</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Dilemma games</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Forbids social terms by rule and test</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Emergent communication (2016-2017)</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Shared objective</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Referential games</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Communication only as a switch; causal + null checks</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Hide-and-seek (2020)</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Team reward</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Physics sandbox</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No teams; individual survival only</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Neural MMO (2019)</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Survival-like</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Persistent MMO world</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Adds seasons, physiology, cooperative prey; preregistered tests</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Crafter (2022)</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Achievements</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Survival, single agent</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Many agents; social measurement</w:t>
            </w:r>
          </w:p>
        </w:tc>
      </w:tr>
      <w:tr>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Generative agents (2023)</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LLM prompts</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Sims-like town</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No language prior; behaviour must be learned</w:t>
            </w:r>
          </w:p>
        </w:tc>
      </w:tr>
    </w:tbl>
    <w:p>
      <w:pPr>
        <w:spacing w:before="120" w:after="60"/>
        <w:jc w:val="center"/>
      </w:pPr>
      <w:r>
        <w:drawing>
          <wp:inline distT="0" distB="0" distL="0" distR="0">
            <wp:extent cx="5334000" cy="3476625"/>
            <wp:effectExtent t="0" r="0" b="0" l="0"/>
            <wp:docPr id="1" name="v11_literature_map.png" descr="Figure 1. Qualitative positioning of prior work by how much social structure the designer supplies and how rich the ecology is (the authors' reading, not a measurement)." title="Figure 1. Qualitative positioning of prior work by how much social structure the designer supplies and how rich the ecology is (the authors' reading, not a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 Qualitative positioning of prior work by how much social structure the designer supplies and how rich the ecology is (the authors' reading, not a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CE6" w:sz="4"/>
              <w:left w:val="single" w:color="B9CCE6" w:sz="4"/>
              <w:bottom w:val="single" w:color="B9CCE6" w:sz="4"/>
              <w:right w:val="single" w:color="B9CCE6" w:sz="4"/>
            </w:tcBorders>
            <w:shd w:fill="EEF3FA" w:color="auto" w:val="clear"/>
            <w:tcMar>
              <w:top w:type="dxa" w:w="120"/>
              <w:left w:type="dxa" w:w="180"/>
              <w:bottom w:type="dxa" w:w="120"/>
              <w:right w:type="dxa" w:w="180"/>
            </w:tcMar>
          </w:tcPr>
          <w:p>
            <w:pPr>
              <w:pStyle w:val="Normal"/>
              <w:spacing w:after="80"/>
            </w:pPr>
            <w:r>
              <w:rPr>
                <w:rFonts w:ascii="Arial" w:cs="Arial" w:eastAsia="Arial" w:hAnsi="Arial"/>
                <w:b/>
                <w:bCs/>
                <w:color w:val="1F4E8C"/>
                <w:sz w:val="21"/>
                <w:szCs w:val="21"/>
              </w:rPr>
              <w:t xml:space="preserve">Gap</w:t>
            </w:r>
          </w:p>
          <w:p>
            <w:pPr>
              <w:pStyle w:val="Normal"/>
              <w:spacing w:after="60" w:line="276"/>
            </w:pPr>
            <w:r>
              <w:rPr>
                <w:rFonts w:ascii="Arial" w:cs="Arial" w:eastAsia="Arial" w:hAnsi="Arial"/>
                <w:sz w:val="21"/>
                <w:szCs w:val="21"/>
              </w:rPr>
              <w:t xml:space="preserve">No surveyed system combines (1) learning agents whose reward is strictly their own physiology, (2) an ecology rich enough that cooperation, sharing and grouping could pay (large prey needing two hunters, carried food, scarce water, winters), (3) capabilities that can be switched on one at a time, and (4) a preregistered measurement protocol with baselines and null models. GENESIS is designed to fill that gap.</w:t>
            </w:r>
          </w:p>
        </w:tc>
      </w:tr>
    </w:tbl>
    <w:p>
      <w:pPr>
        <w:pStyle w:val="Heading1"/>
        <w:keepNext/>
      </w:pPr>
      <w:r>
        <w:rPr>
          <w:rFonts w:ascii="Arial" w:cs="Arial" w:eastAsia="Arial" w:hAnsi="Arial"/>
          <w:b/>
          <w:bCs/>
          <w:color w:val="1F4E8C"/>
          <w:sz w:val="32"/>
          <w:szCs w:val="32"/>
        </w:rPr>
        <w:t xml:space="preserve">4. Technology survey</w:t>
      </w:r>
    </w:p>
    <w:p>
      <w:pPr>
        <w:pStyle w:val="Normal"/>
        <w:spacing w:after="120" w:line="288"/>
      </w:pPr>
      <w:r>
        <w:rPr>
          <w:rFonts w:ascii="Arial" w:cs="Arial" w:eastAsia="Arial" w:hAnsi="Arial"/>
          <w:sz w:val="21"/>
          <w:szCs w:val="21"/>
        </w:rPr>
        <w:t xml:space="preserve">Each decision below was scored by the team on the criteria that mattered for this project (scores 1-5, weights in brackets). Scores are team judgements recorded at decision time; the measured outcome is noted where one exists.</w:t>
      </w:r>
    </w:p>
    <w:p>
      <w:pPr>
        <w:pStyle w:val="Heading2"/>
        <w:keepNext/>
      </w:pPr>
      <w:r>
        <w:rPr>
          <w:rFonts w:ascii="Arial" w:cs="Arial" w:eastAsia="Arial" w:hAnsi="Arial"/>
          <w:b/>
          <w:bCs/>
          <w:color w:val="1B1B1A"/>
          <w:sz w:val="25"/>
          <w:szCs w:val="25"/>
        </w:rPr>
        <w:t xml:space="preserve">4.1 Simulation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805"/>
        <w:gridCol w:w="1534"/>
        <w:gridCol w:w="1083"/>
        <w:gridCol w:w="1083"/>
        <w:gridCol w:w="1174"/>
      </w:tblGrid>
      <w:tr>
        <w:trPr>
          <w:tblHeader/>
        </w:trPr>
        <w:tc>
          <w:tcPr>
            <w:tcW w:type="dxa" w:w="234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Option</w:t>
            </w:r>
          </w:p>
        </w:tc>
        <w:tc>
          <w:tcPr>
            <w:tcW w:type="dxa" w:w="180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Laptop speed, no CUDA (0.35)</w:t>
            </w:r>
          </w:p>
        </w:tc>
        <w:tc>
          <w:tcPr>
            <w:tcW w:type="dxa" w:w="153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Determinism control (0.25)</w:t>
            </w:r>
          </w:p>
        </w:tc>
        <w:tc>
          <w:tcPr>
            <w:tcW w:type="dxa" w:w="108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Dev speed (0.2)</w:t>
            </w:r>
          </w:p>
        </w:tc>
        <w:tc>
          <w:tcPr>
            <w:tcW w:type="dxa" w:w="108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Ecosystem (0.2)</w:t>
            </w:r>
          </w:p>
        </w:tc>
        <w:tc>
          <w:tcPr>
            <w:tcW w:type="dxa" w:w="117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Weighted</w:t>
            </w:r>
          </w:p>
        </w:tc>
      </w:tr>
      <w:tr>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Numba (chosen)</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4.6</w:t>
            </w:r>
          </w:p>
        </w:tc>
      </w:tr>
      <w:tr>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JAX</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 (no CUDA here)</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3.5</w:t>
            </w:r>
          </w:p>
        </w:tc>
      </w:tr>
      <w:tr>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Pure NumPy</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3.8</w:t>
            </w:r>
          </w:p>
        </w:tc>
      </w:tr>
      <w:tr>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Unity ML-Agents [Juliani2018]</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3.2</w:t>
            </w:r>
          </w:p>
        </w:tc>
      </w:tr>
      <w:tr>
        <w:tc>
          <w:tcPr>
            <w:tcW w:type="dxa" w:w="234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 engine + bindings</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1</w:t>
            </w:r>
          </w:p>
        </w:tc>
        <w:tc>
          <w:tcPr>
            <w:tcW w:type="dxa" w:w="108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3.7</w:t>
            </w:r>
          </w:p>
        </w:tc>
      </w:tr>
    </w:tbl>
    <w:p>
      <w:pPr>
        <w:pStyle w:val="Normal"/>
        <w:spacing w:after="120" w:line="288"/>
      </w:pPr>
      <w:r>
        <w:rPr>
          <w:rFonts w:ascii="Arial" w:cs="Arial" w:eastAsia="Arial" w:hAnsi="Arial"/>
          <w:sz w:val="21"/>
          <w:szCs w:val="21"/>
        </w:rPr>
        <w:t xml:space="preserve">Outcome: the fused Numba tick reaches about </w:t>
      </w:r>
      <w:r>
        <w:rPr>
          <w:rFonts w:ascii="Arial" w:cs="Arial" w:eastAsia="Arial" w:hAnsi="Arial"/>
          <w:b/>
          <w:bCs/>
          <w:sz w:val="21"/>
          <w:szCs w:val="21"/>
        </w:rPr>
        <w:t xml:space="preserve">112,000 environment steps per minute with observations at 1,000 agents</w:t>
      </w:r>
      <w:r>
        <w:rPr>
          <w:rFonts w:ascii="Arial" w:cs="Arial" w:eastAsia="Arial" w:hAnsi="Arial"/>
          <w:sz w:val="21"/>
          <w:szCs w:val="21"/>
        </w:rPr>
        <w:t xml:space="preserve"> on the MacBook Air M4 (Stage 1.1 benchmark), above the 100k target. Numba [Lam2015] compiles Python functions to machine code and supports multi-core loops.</w:t>
      </w:r>
    </w:p>
    <w:p>
      <w:pPr>
        <w:pStyle w:val="Heading2"/>
        <w:keepNext/>
      </w:pPr>
      <w:r>
        <w:rPr>
          <w:rFonts w:ascii="Arial" w:cs="Arial" w:eastAsia="Arial" w:hAnsi="Arial"/>
          <w:b/>
          <w:bCs/>
          <w:color w:val="1B1B1A"/>
          <w:sz w:val="25"/>
          <w:szCs w:val="25"/>
        </w:rPr>
        <w:t xml:space="preserve">4.2 Learning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534"/>
        <w:gridCol w:w="1354"/>
        <w:gridCol w:w="1173"/>
        <w:gridCol w:w="1174"/>
      </w:tblGrid>
      <w:tr>
        <w:trPr>
          <w:tblHeader/>
        </w:trPr>
        <w:tc>
          <w:tcPr>
            <w:tcW w:type="dxa" w:w="252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Option</w:t>
            </w:r>
          </w:p>
        </w:tc>
        <w:tc>
          <w:tcPr>
            <w:tcW w:type="dxa" w:w="126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Apple GPU (0.35)</w:t>
            </w:r>
          </w:p>
        </w:tc>
        <w:tc>
          <w:tcPr>
            <w:tcW w:type="dxa" w:w="153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Recurrent PPO support (0.25)</w:t>
            </w:r>
          </w:p>
        </w:tc>
        <w:tc>
          <w:tcPr>
            <w:tcW w:type="dxa" w:w="135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Team familiarity (0.2)</w:t>
            </w:r>
          </w:p>
        </w:tc>
        <w:tc>
          <w:tcPr>
            <w:tcW w:type="dxa" w:w="117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Debuggability (0.2)</w:t>
            </w:r>
          </w:p>
        </w:tc>
        <w:tc>
          <w:tcPr>
            <w:tcW w:type="dxa" w:w="117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Weighted</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PyTorch on MPS (chosen)</w:t>
            </w:r>
            <w:r>
              <w:rPr>
                <w:rFonts w:ascii="Arial" w:cs="Arial" w:eastAsia="Arial" w:hAnsi="Arial"/>
                <w:sz w:val="17"/>
                <w:szCs w:val="17"/>
              </w:rPr>
              <w:t xml:space="preserve"> [Paszke2019]</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4.65</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JAX / Flax</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2.75</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TensorFlow</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w:t>
            </w:r>
          </w:p>
        </w:tc>
        <w:tc>
          <w:tcPr>
            <w:tcW w:type="dxa" w:w="117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2.8</w:t>
            </w:r>
          </w:p>
        </w:tc>
      </w:tr>
    </w:tbl>
    <w:p>
      <w:pPr>
        <w:pStyle w:val="Normal"/>
        <w:spacing w:after="120" w:line="288"/>
      </w:pPr>
      <w:r>
        <w:rPr>
          <w:rFonts w:ascii="Arial" w:cs="Arial" w:eastAsia="Arial" w:hAnsi="Arial"/>
          <w:sz w:val="21"/>
          <w:szCs w:val="21"/>
        </w:rPr>
        <w:t xml:space="preserve">Outcome: CPU inference was measured about 13x slower than MPS for the shared network, so training uses MPS while sampling stays on a seeded CPU generator for reproducibility.</w:t>
      </w:r>
    </w:p>
    <w:p>
      <w:pPr>
        <w:pStyle w:val="Heading2"/>
        <w:keepNext/>
      </w:pPr>
      <w:r>
        <w:rPr>
          <w:rFonts w:ascii="Arial" w:cs="Arial" w:eastAsia="Arial" w:hAnsi="Arial"/>
          <w:b/>
          <w:bCs/>
          <w:color w:val="1B1B1A"/>
          <w:sz w:val="25"/>
          <w:szCs w:val="25"/>
        </w:rPr>
        <w:t xml:space="preserve">4.3 Environment API</w:t>
      </w:r>
    </w:p>
    <w:p>
      <w:pPr>
        <w:pStyle w:val="Normal"/>
        <w:spacing w:after="120" w:line="288"/>
      </w:pPr>
      <w:r>
        <w:rPr>
          <w:rFonts w:ascii="Arial" w:cs="Arial" w:eastAsia="Arial" w:hAnsi="Arial"/>
          <w:sz w:val="21"/>
          <w:szCs w:val="21"/>
        </w:rPr>
        <w:t xml:space="preserve">The batched slot-based API serves the learner; a PettingZoo ParallelEnv wrapper [Terry2021] makes the world usable by standard multi-agent libraries and is checked by PettingZoo's API test. Gymnasium [Towers2024] conventions are followed for observation and action spaces.</w:t>
      </w:r>
    </w:p>
    <w:p>
      <w:pPr>
        <w:pStyle w:val="Heading2"/>
        <w:keepNext/>
      </w:pPr>
      <w:r>
        <w:rPr>
          <w:rFonts w:ascii="Arial" w:cs="Arial" w:eastAsia="Arial" w:hAnsi="Arial"/>
          <w:b/>
          <w:bCs/>
          <w:color w:val="1B1B1A"/>
          <w:sz w:val="25"/>
          <w:szCs w:val="25"/>
        </w:rPr>
        <w:t xml:space="preserve">4.4 Live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354"/>
        <w:gridCol w:w="1805"/>
        <w:gridCol w:w="993"/>
        <w:gridCol w:w="1264"/>
      </w:tblGrid>
      <w:tr>
        <w:trPr>
          <w:tblHeader/>
        </w:trPr>
        <w:tc>
          <w:tcPr>
            <w:tcW w:type="dxa" w:w="216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Option</w:t>
            </w:r>
          </w:p>
        </w:tc>
        <w:tc>
          <w:tcPr>
            <w:tcW w:type="dxa" w:w="144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3-D diorama look (0.3)</w:t>
            </w:r>
          </w:p>
        </w:tc>
        <w:tc>
          <w:tcPr>
            <w:tcW w:type="dxa" w:w="135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No build step (0.25)</w:t>
            </w:r>
          </w:p>
        </w:tc>
        <w:tc>
          <w:tcPr>
            <w:tcW w:type="dxa" w:w="180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Frame rate at 1,000 agents (0.25)</w:t>
            </w:r>
          </w:p>
        </w:tc>
        <w:tc>
          <w:tcPr>
            <w:tcW w:type="dxa" w:w="99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Effort (0.2)</w:t>
            </w:r>
          </w:p>
        </w:tc>
        <w:tc>
          <w:tcPr>
            <w:tcW w:type="dxa" w:w="126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Weighted</w:t>
            </w:r>
          </w:p>
        </w:tc>
      </w:tr>
      <w:tr>
        <w:tc>
          <w:tcPr>
            <w:tcW w:type="dxa" w:w="216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three.js (chosen)</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99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4.55</w:t>
            </w:r>
          </w:p>
        </w:tc>
      </w:tr>
      <w:tr>
        <w:tc>
          <w:tcPr>
            <w:tcW w:type="dxa" w:w="216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PixiJS (original plan, 2-D)</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99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3.65</w:t>
            </w:r>
          </w:p>
        </w:tc>
      </w:tr>
      <w:tr>
        <w:tc>
          <w:tcPr>
            <w:tcW w:type="dxa" w:w="216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Unity WebGL</w:t>
            </w:r>
          </w:p>
        </w:tc>
        <w:tc>
          <w:tcPr>
            <w:tcW w:type="dxa" w:w="144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w:t>
            </w:r>
          </w:p>
        </w:tc>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1</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4</w:t>
            </w:r>
          </w:p>
        </w:tc>
        <w:tc>
          <w:tcPr>
            <w:tcW w:type="dxa" w:w="99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3.15</w:t>
            </w:r>
          </w:p>
        </w:tc>
      </w:tr>
    </w:tbl>
    <w:p>
      <w:pPr>
        <w:pStyle w:val="Normal"/>
        <w:spacing w:after="120" w:line="288"/>
      </w:pPr>
      <w:r>
        <w:rPr>
          <w:rFonts w:ascii="Arial" w:cs="Arial" w:eastAsia="Arial" w:hAnsi="Arial"/>
          <w:sz w:val="21"/>
          <w:szCs w:val="21"/>
        </w:rPr>
        <w:t xml:space="preserve">Outcome: the three.js viewer was measured at 85-115 fps with 256 agents and 75-90 fps with 1,000 agents at 1600x900 (M3 Pro, headless Chromium). The original plan named PixiJS; the change to three.js was a recorded decision on 26 October 2026.</w:t>
      </w:r>
    </w:p>
    <w:p>
      <w:pPr>
        <w:pStyle w:val="Heading2"/>
        <w:keepNext/>
      </w:pPr>
      <w:r>
        <w:rPr>
          <w:rFonts w:ascii="Arial" w:cs="Arial" w:eastAsia="Arial" w:hAnsi="Arial"/>
          <w:b/>
          <w:bCs/>
          <w:color w:val="1B1B1A"/>
          <w:sz w:val="25"/>
          <w:szCs w:val="25"/>
        </w:rPr>
        <w:t xml:space="preserve">4.5 Supporting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rPr>
          <w:tblHeader/>
        </w:trPr>
        <w:tc>
          <w:tcPr>
            <w:tcW w:type="dxa" w:w="225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Need</w:t>
            </w:r>
          </w:p>
        </w:tc>
        <w:tc>
          <w:tcPr>
            <w:tcW w:type="dxa" w:w="3159"/>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Tool</w:t>
            </w:r>
          </w:p>
        </w:tc>
        <w:tc>
          <w:tcPr>
            <w:tcW w:type="dxa" w:w="361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Why</w:t>
            </w:r>
          </w:p>
        </w:tc>
      </w:tr>
      <w:tr>
        <w:tc>
          <w:tcPr>
            <w:tcW w:type="dxa" w:w="22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Environment management</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uv + Python 3.11 venv</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Fast, reproducible installs (</w:t>
            </w:r>
            <w:r>
              <w:rPr>
                <w:rFonts w:ascii="Courier New" w:cs="Courier New" w:eastAsia="Courier New" w:hAnsi="Courier New"/>
                <w:sz w:val="16"/>
                <w:szCs w:val="16"/>
              </w:rPr>
              <w:t xml:space="preserve">make setup</w:t>
            </w:r>
            <w:r>
              <w:rPr>
                <w:rFonts w:ascii="Arial" w:cs="Arial" w:eastAsia="Arial" w:hAnsi="Arial"/>
                <w:sz w:val="18"/>
                <w:szCs w:val="18"/>
              </w:rPr>
              <w:t xml:space="preserve">)</w:t>
            </w:r>
          </w:p>
        </w:tc>
      </w:tr>
      <w:tr>
        <w:tc>
          <w:tcPr>
            <w:tcW w:type="dxa" w:w="22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Testing</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pytest, pytest-cov, GitHub Actions</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59 tests on every change; coverage report</w:t>
            </w:r>
          </w:p>
        </w:tc>
      </w:tr>
      <w:tr>
        <w:tc>
          <w:tcPr>
            <w:tcW w:type="dxa" w:w="22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Statistics</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NumPy/SciPy: bootstrap, Kaplan-Meier, Hedges' g</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Matches the preregistered protocol</w:t>
            </w:r>
          </w:p>
        </w:tc>
      </w:tr>
      <w:tr>
        <w:tc>
          <w:tcPr>
            <w:tcW w:type="dxa" w:w="22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Paper</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LaTeX via Tectonic</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Single-binary build of the preprint</w:t>
            </w:r>
          </w:p>
        </w:tc>
      </w:tr>
      <w:tr>
        <w:tc>
          <w:tcPr>
            <w:tcW w:type="dxa" w:w="225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Diagrams</w:t>
            </w:r>
          </w:p>
        </w:tc>
        <w:tc>
          <w:tcPr>
            <w:tcW w:type="dxa" w:w="315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Hand-built SVG (checked label fit), Graphviz, matplotlib</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Reproducible figures from code</w:t>
            </w:r>
          </w:p>
        </w:tc>
      </w:tr>
    </w:tbl>
    <w:p>
      <w:r>
        <w:br w:type="page"/>
      </w:r>
    </w:p>
    <w:p>
      <w:pPr>
        <w:pStyle w:val="Heading1"/>
        <w:keepNext/>
      </w:pPr>
      <w:r>
        <w:rPr>
          <w:rFonts w:ascii="Arial" w:cs="Arial" w:eastAsia="Arial" w:hAnsi="Arial"/>
          <w:b/>
          <w:bCs/>
          <w:color w:val="1F4E8C"/>
          <w:sz w:val="32"/>
          <w:szCs w:val="32"/>
        </w:rPr>
        <w:t xml:space="preserve">5.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6138"/>
        <w:gridCol w:w="1534"/>
      </w:tblGrid>
      <w:tr>
        <w:trPr>
          <w:tblHeader/>
        </w:trPr>
        <w:tc>
          <w:tcPr>
            <w:tcW w:type="dxa" w:w="135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6"/>
                <w:szCs w:val="16"/>
              </w:rPr>
              <w:t xml:space="preserve">Key</w:t>
            </w:r>
          </w:p>
        </w:tc>
        <w:tc>
          <w:tcPr>
            <w:tcW w:type="dxa" w:w="613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6"/>
                <w:szCs w:val="16"/>
              </w:rPr>
              <w:t xml:space="preserve">Reference</w:t>
            </w:r>
          </w:p>
        </w:tc>
        <w:tc>
          <w:tcPr>
            <w:tcW w:type="dxa" w:w="153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6"/>
                <w:szCs w:val="16"/>
              </w:rPr>
              <w:t xml:space="preserve">Check</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Agarwal2021</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R. Agarwal, M. Schwarzer, P. S. Castro, A. Courville, M. G. Bellemare. Deep reinforcement learning at the edge of the statistical precipice. NeurIPS 2021 (outstanding paper). arXiv:2108.13264.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Baker2020</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B. Baker, I. Kanitscheider, T. Markov, Y. Wu, G. Powell, B. McGrew, I. Mordatch. Emergent tool use from multi-agent autocurricula. ICLR 2020.</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Barnes2014</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R. Barnes, C. Lehman, D. Mulla. Priority-Flood: an optimal depression-filling and watershed-labeling algorithm for digital elevation models. Computers &amp; Geosciences, 2014. arXiv:1511.04463.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 (pages not confirmed)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Bhoopchand2023</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A. Bhoopchand et al. Learning few-shot imitation as cultural transmission. Nature Communications 14, 7536 (2023). doi:10.1038/s41467-023-42875-2.</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Cho2014</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K. Cho, B. van Merriënboer, C. Gulcehre, D. Bahdanau, F. Bougares, H. Schwenk, Y. Bengio. Learning phrase representations using RNN encoder-decoder for statistical machine translation. EMNLP 2014.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Duenez2023</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E. A. Duéñez-Guzmán, S. Sadedin, J. X. Wang, K. R. McKee, J. Z. Leibo. A social path to human-like artificial intelligence. Nature Machine Intelligence, 2023. doi:10.1038/s42256-023-00754-x.</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 (volume/pages not confirmed)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Efron1993</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B. Efron, R. J. Tibshirani. An Introduction to the Bootstrap. Chapman &amp; Hall, 1993.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Epstein1996</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M. Epstein, R. Axtell. Growing Artificial Societies: Social Science from the Bottom Up. MIT Press, 1996.</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Foerster2016</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N. Foerster, Y. M. Assael, N. de Freitas, S. Whiteson. Learning to communicate with deep multi-agent reinforcement learning. NeurIPS 2016.</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Hafner2022</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D. Hafner. Benchmarking the spectrum of agent capabilities (Crafter). ICLR 2022. arXiv:2109.06780.</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Hedges1981</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 V. Hedges. Distribution theory for Glass's estimator of effect size and related estimators. Journal of Educational Statistics 6(2):107-128, 1981.</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Henderson2018</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P. Henderson, R. Islam, P. Bachman, J. Pineau, D. Precup, D. Meger. Deep reinforcement learning that matters. AAAI 2018, 32(1):3207-3214.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Hughes2018</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E. Hughes, J. Z. Leibo, et al. Inequity aversion improves cooperation in intertemporal social dilemmas. NeurIPS 2018 (NeurIPS 31), 3326-3336.</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Jaques2019</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N. Jaques, A. Lazaridou, E. Hughes, C. Gulcehre, P. Ortega, D. Strouse, J. Z. Leibo, N. de Freitas. Social influence as intrinsic motivation for multi-agent deep reinforcement learning. ICML 2019, PMLR 97:3040-3049.</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Johanson2022</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M. B. Johanson, E. Hughes, F. Timbers, J. Z. Leibo. Emergent bartering behaviour in multi-agent reinforcement learning. arXiv:2205.06760, 2022.</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Juliani2018</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A. Juliani et al. Unity: a general platform for intelligent agents. arXiv:1809.02627, 2018.</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Kaplan1958</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E. L. Kaplan, P. Meier. Nonparametric estimation from incomplete observations. Journal of the American Statistical Association 53(282):457-481, 1958.</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Keramati2014</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M. Keramati, B. Gutkin. Homeostatic reinforcement learning for integrating reward collection and physiological stability. eLife 3:e04811, 2014. doi:10.7554/eLife.04811.</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Lam2015</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S. K. Lam, A. Pitrou, S. Seibert. Numba: a LLVM-based Python JIT compiler. Workshop at SC15, 2015.</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 (workshop name not confirmed)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Lazaridou2017</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A. Lazaridou, A. Peysakhovich, M. Baroni. Multi-agent cooperation and the emergence of (natural) language. ICLR 2017.</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Leibo2017</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Z. Leibo, V. Zambaldi, M. Lanctot, J. Marecki, T. Graepel. Multi-agent reinforcement learning in sequential social dilemmas. AAMAS 2017, 464-473. arXiv:1702.03037.</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Leibo2021</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Z. Leibo, E. Duéñez-Guzmán, A. S. Vezhnevets, et al. Scalable evaluation of multi-agent reinforcement learning with Melting Pot. ICML 2021, PMLR 139:6187-6199.</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Lowe2019</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R. Lowe, J. Foerster, Y.-L. Boureau, J. Pineau, Y. Dauphin. On the pitfalls of measuring emergent communication. AAMAS 2019, 693-701. arXiv:1903.05168.</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Ndousse2021</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K. Ndousse, D. Eck, S. Levine, N. Jaques. Emergent social learning via multi-agent reinforcement learning. ICML 2021, PMLR 139:7991-8004.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Nosek2018</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B. A. Nosek, C. R. Ebersole, A. C. DeHaven, D. T. Mellor. The preregistration revolution. PNAS 115(11):2600-2606, 2018. doi:10.1073/pnas.1708274114.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Park2023</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S. Park, J. C. O'Brien, C. J. Cai, M. R. Morris, P. Liang, M. S. Bernstein. Generative agents: interactive simulacra of human behavior. UIST 2023. doi:10.1145/3586183.3606763.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Paszke2019</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A. Paszke et al. PyTorch: an imperative style, high-performance deep learning library. NeurIPS 2019. arXiv:1912.01703.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Perolat2017</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Pérolat, J. Z. Leibo, V. Zambaldi, C. Beattie, K. Tuyls, T. Graepel. A multi-agent reinforcement learning model of common-pool resource appropriation. NeurIPS 2017 (NIPS 30), 3644-3653.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Schulman2016</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Schulman, P. Moritz, S. Levine, M. Jordan, P. Abbeel. High-dimensional continuous control using generalized advantage estimation. ICLR 2016.</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Schulman2017</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Schulman, F. Wolski, P. Dhariwal, A. Radford, O. Klimov. Proximal policy optimization algorithms. arXiv:1707.06347, 2017.</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classic</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Silver2021</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D. Silver, S. Singh, D. Precup, R. S. Sutton. Reward is enough. Artificial Intelligence, 2021.</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 (volume not confirmed)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Suarez2019</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Suarez, Y. Du, P. Isola, I. Mordatch. Neural MMO: a massively multiagent game environment for training and evaluating intelligent agents. arXiv:1903.00784, 2019.</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Terry2021</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J. K. Terry et al. PettingZoo: Gym for multi-agent reinforcement learning. NeurIPS 2021 (NeurIPS 34), 15032-15043.</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Towers2024</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M. Towers et al. Gymnasium: a standard interface for reinforcement learning environments. arXiv:2407.17032 (NeurIPS 2025 Datasets and Benchmarks).</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r>
        <w:tc>
          <w:tcPr>
            <w:tcW w:type="dxa" w:w="135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Yaeger1994</w:t>
            </w:r>
          </w:p>
        </w:tc>
        <w:tc>
          <w:tcPr>
            <w:tcW w:type="dxa" w:w="613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L. Yaeger. Computational genetics, physiology, metabolism, neural systems, learning, vision, and behavior or PolyWorld: life in a new context. In C. Langton (ed.), Artificial Life III, SFI Studies in the Sciences of Complexity XVII, Addison-Wesley, 263-298, 1994.</w:t>
            </w:r>
          </w:p>
        </w:tc>
        <w:tc>
          <w:tcPr>
            <w:tcW w:type="dxa" w:w="153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6"/>
                <w:szCs w:val="16"/>
              </w:rPr>
              <w:t xml:space="preserve">verified</w:t>
            </w:r>
          </w:p>
        </w:tc>
      </w:tr>
    </w:tbl>
    <w:p>
      <w:pPr>
        <w:pStyle w:val="Normal"/>
        <w:spacing w:after="120" w:line="288"/>
      </w:pPr>
      <w:r>
        <w:rPr>
          <w:rFonts w:ascii="Arial" w:cs="Arial" w:eastAsia="Arial" w:hAnsi="Arial"/>
          <w:i/>
          <w:iCs/>
          <w:sz w:val="17"/>
          <w:szCs w:val="17"/>
        </w:rPr>
        <w:t xml:space="preserve">"verified": confirmed online on 27 October 2026. "classic": widely cited work whose details the team is confident of; re-check page numbers before any submission.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984"/>
        <w:sz w:val="16"/>
        <w:szCs w:val="16"/>
      </w:rPr>
      <w:t xml:space="preserve">GENESIS  |  Literature Review &amp; Technology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120" w:line="288"/>
    </w:pPr>
    <w:rPr>
      <w:rFonts w:ascii="Arial" w:cs="Arial" w:eastAsia="Arial" w:hAnsi="Arial"/>
      <w:b w:val="false"/>
      <w:bCs w:val="false"/>
      <w:color w:val="1B1B1A"/>
      <w:sz w:val="21"/>
      <w:szCs w:val="21"/>
    </w:rPr>
  </w:style>
  <w:style w:type="paragraph" w:styleId="Heading1">
    <w:name w:val="Heading 1"/>
    <w:basedOn w:val="Normal"/>
    <w:next w:val="Normal"/>
    <w:qFormat/>
    <w:pPr>
      <w:spacing w:before="360" w:after="160"/>
      <w:outlineLvl w:val="0"/>
    </w:pPr>
    <w:rPr>
      <w:rFonts w:ascii="Arial" w:cs="Arial" w:eastAsia="Arial" w:hAnsi="Arial"/>
      <w:b/>
      <w:bCs/>
      <w:color w:val="1F4E8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1B1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dce9fa945a2b7654ad7374ab1b8d5eef54f77b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&amp; Technology Survey</dc:title>
  <dc:creator>Heet Ranpura, Advik Divekar</dc:creator>
  <dc:description>GENESIS VIP report: Literature Review &amp; Technology Survey</dc:description>
  <cp:lastModifiedBy>Un-named</cp:lastModifiedBy>
  <cp:revision>1</cp:revision>
  <dcterms:created xsi:type="dcterms:W3CDTF">2026-10-27T15:25:51.385Z</dcterms:created>
  <dcterms:modified xsi:type="dcterms:W3CDTF">2026-10-27T15:25:51.385Z</dcterms:modified>
</cp:coreProperties>
</file>

<file path=docProps/custom.xml><?xml version="1.0" encoding="utf-8"?>
<Properties xmlns="http://schemas.openxmlformats.org/officeDocument/2006/custom-properties" xmlns:vt="http://schemas.openxmlformats.org/officeDocument/2006/docPropsVTypes"/>
</file>