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left"/>
      </w:pPr>
      <w:r>
        <w:rPr>
          <w:rFonts w:ascii="Arial" w:cs="Arial" w:eastAsia="Arial" w:hAnsi="Arial"/>
          <w:b/>
          <w:bCs/>
          <w:color w:val="1F4E8C"/>
          <w:spacing w:val="40"/>
          <w:sz w:val="28"/>
          <w:szCs w:val="28"/>
        </w:rPr>
        <w:t xml:space="preserve">GENESIS</w:t>
      </w:r>
    </w:p>
    <w:p>
      <w:pPr>
        <w:spacing w:after="120"/>
        <w:jc w:val="left"/>
      </w:pPr>
      <w:r>
        <w:rPr>
          <w:rFonts w:ascii="Arial" w:cs="Arial" w:eastAsia="Arial" w:hAnsi="Arial"/>
          <w:color w:val="52514E"/>
          <w:sz w:val="22"/>
          <w:szCs w:val="22"/>
        </w:rPr>
        <w:t xml:space="preserve">Emergent social organisation in survival-only learning agents</w:t>
      </w:r>
    </w:p>
    <w:p>
      <w:pPr>
        <w:pBdr>
          <w:bottom w:val="single" w:color="1F4E8C" w:sz="8" w:space="8"/>
        </w:pBdr>
        <w:spacing w:before="600" w:after="200"/>
      </w:pPr>
      <w:r>
        <w:rPr>
          <w:rFonts w:ascii="Arial" w:cs="Arial" w:eastAsia="Arial" w:hAnsi="Arial"/>
          <w:b/>
          <w:bCs/>
          <w:color w:val="1B1B1A"/>
          <w:sz w:val="48"/>
          <w:szCs w:val="48"/>
        </w:rPr>
        <w:t xml:space="preserve">Initial System Concept &amp; Feasibility</w:t>
      </w:r>
    </w:p>
    <w:p>
      <w:pPr>
        <w:spacing w:after="120"/>
        <w:jc w:val="left"/>
      </w:pPr>
      <w:r>
        <w:rPr>
          <w:rFonts w:ascii="Arial" w:cs="Arial" w:eastAsia="Arial" w:hAnsi="Arial"/>
          <w:color w:val="52514E"/>
          <w:sz w:val="24"/>
          <w:szCs w:val="24"/>
        </w:rPr>
        <w:t xml:space="preserve">Subsystems, interfaces, key decisions and whether it fits on two laptops</w:t>
      </w:r>
    </w:p>
    <w:p>
      <w:pPr>
        <w:spacing w:before="90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300"/>
        <w:gridCol w:w="6726"/>
      </w:tblGrid>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Course</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Design Experience I (Semester IV), VIP vertical</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Institute</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MPSTME, NMIMS (Vertically Integrated Projects vertical)</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Domain</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Artificial Intelligence &amp; Data Systems</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Team</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Heet Ranpura (Sem V), Advik Divekar (Sem V)</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Faculty mentor</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[to fill]</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Repository</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github.com/HeetRanpura/Genesis</w:t>
            </w:r>
          </w:p>
        </w:tc>
      </w:tr>
      <w:tr>
        <w:tc>
          <w:tcPr>
            <w:tcW w:type="dxa" w:w="2300"/>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bCs/>
                <w:color w:val="52514E"/>
                <w:sz w:val="20"/>
                <w:szCs w:val="20"/>
              </w:rPr>
              <w:t xml:space="preserve">Version / date</w:t>
            </w:r>
          </w:p>
        </w:tc>
        <w:tc>
          <w:tcPr>
            <w:tcW w:type="dxa" w:w="6726"/>
            <w:tcBorders>
              <w:top w:val="none" w:color="FFFFFF" w:sz="0"/>
              <w:left w:val="none" w:color="FFFFFF" w:sz="0"/>
              <w:bottom w:val="none" w:color="FFFFFF" w:sz="0"/>
              <w:right w:val="none" w:color="FFFFFF" w:sz="0"/>
            </w:tcBorders>
            <w:tcMar>
              <w:top w:type="dxa" w:w="40"/>
              <w:left w:type="dxa" w:w="0"/>
              <w:bottom w:type="dxa" w:w="40"/>
              <w:right w:type="dxa" w:w="80"/>
            </w:tcMar>
          </w:tcPr>
          <w:p>
            <w:pPr>
              <w:pStyle w:val="Normal"/>
              <w:spacing w:after="0"/>
            </w:pPr>
            <w:r>
              <w:rPr>
                <w:rFonts w:ascii="Arial" w:cs="Arial" w:eastAsia="Arial" w:hAnsi="Arial"/>
                <w:b w:val="false"/>
                <w:bCs w:val="false"/>
                <w:color w:val="1B1B1A"/>
                <w:sz w:val="20"/>
                <w:szCs w:val="20"/>
              </w:rPr>
              <w:t xml:space="preserve">1.0, 27 October 2026</w:t>
            </w:r>
          </w:p>
        </w:tc>
      </w:tr>
    </w:tbl>
    <w:p>
      <w:r>
        <w:br w:type="page"/>
      </w:r>
    </w:p>
    <w:p>
      <w:pPr>
        <w:pStyle w:val="Heading1"/>
        <w:keepNext/>
      </w:pPr>
      <w:r>
        <w:rPr>
          <w:rFonts w:ascii="Arial" w:cs="Arial" w:eastAsia="Arial" w:hAnsi="Arial"/>
          <w:b/>
          <w:bCs/>
          <w:color w:val="1F4E8C"/>
          <w:sz w:val="32"/>
          <w:szCs w:val="32"/>
        </w:rPr>
        <w:t xml:space="preserve">1. Concept overview</w:t>
      </w:r>
    </w:p>
    <w:p>
      <w:pPr>
        <w:pStyle w:val="Normal"/>
        <w:spacing w:after="120" w:line="288"/>
      </w:pPr>
      <w:r>
        <w:rPr>
          <w:rFonts w:ascii="Arial" w:cs="Arial" w:eastAsia="Arial" w:hAnsi="Arial"/>
          <w:sz w:val="21"/>
          <w:szCs w:val="21"/>
        </w:rPr>
        <w:t xml:space="preserve">GENESIS is one seeded simulator, a set of interchangeable policies (baselines or learners), and a recorder that captures every agent at every tick. Analysis reads the recordings; it never feeds back into reward. A live viewer shows any run in 3-D.</w:t>
      </w:r>
    </w:p>
    <w:p>
      <w:pPr>
        <w:spacing w:before="120" w:after="60"/>
        <w:jc w:val="center"/>
      </w:pPr>
      <w:r>
        <w:drawing>
          <wp:inline distT="0" distB="0" distL="0" distR="0">
            <wp:extent cx="5715000" cy="4095750"/>
            <wp:effectExtent t="0" r="0" b="0" l="0"/>
            <wp:docPr id="1" name="01_system_architecture.png" descr="Figure 1. System architecture (diagram by Advik Divekar, from the project's preprint)." title="Figure 1. System architecture (diagram by Advik Divekar, from the project's pr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95750"/>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1. System architecture (diagram by Advik Divekar, from the project's preprint).</w:t>
      </w:r>
    </w:p>
    <w:p>
      <w:pPr>
        <w:pStyle w:val="Heading1"/>
        <w:keepNext/>
      </w:pPr>
      <w:r>
        <w:rPr>
          <w:rFonts w:ascii="Arial" w:cs="Arial" w:eastAsia="Arial" w:hAnsi="Arial"/>
          <w:b/>
          <w:bCs/>
          <w:color w:val="1F4E8C"/>
          <w:sz w:val="32"/>
          <w:szCs w:val="32"/>
        </w:rPr>
        <w:t xml:space="preserve">2. Subsystems and interfaces</w:t>
      </w:r>
    </w:p>
    <w:p>
      <w:pPr>
        <w:spacing w:before="120" w:after="60"/>
        <w:jc w:val="center"/>
      </w:pPr>
      <w:r>
        <w:drawing>
          <wp:inline distT="0" distB="0" distL="0" distR="0">
            <wp:extent cx="5715000" cy="2533650"/>
            <wp:effectExtent t="0" r="0" b="0" l="0"/>
            <wp:docPr id="1" name="v02_subsystems.png" descr="Figure 2. Five subsystems with owners and interfaces." title="Figure 2. Five subsystems with owners and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33650"/>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2. Five subsystems with owners and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527"/>
        <w:gridCol w:w="2708"/>
        <w:gridCol w:w="1986"/>
      </w:tblGrid>
      <w:tr>
        <w:trPr>
          <w:tblHeader/>
        </w:trPr>
        <w:tc>
          <w:tcPr>
            <w:tcW w:type="dxa" w:w="1805"/>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Subsystem</w:t>
            </w:r>
          </w:p>
        </w:tc>
        <w:tc>
          <w:tcPr>
            <w:tcW w:type="dxa" w:w="2527"/>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Responsibility</w:t>
            </w:r>
          </w:p>
        </w:tc>
        <w:tc>
          <w:tcPr>
            <w:tcW w:type="dxa" w:w="2708"/>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Interface</w:t>
            </w:r>
          </w:p>
        </w:tc>
        <w:tc>
          <w:tcPr>
            <w:tcW w:type="dxa" w:w="1986"/>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Verified by</w:t>
            </w:r>
          </w:p>
        </w:tc>
      </w:tr>
      <w:tr>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World engine (</w:t>
            </w:r>
            <w:r>
              <w:rPr>
                <w:rFonts w:ascii="Courier New" w:cs="Courier New" w:eastAsia="Courier New" w:hAnsi="Courier New"/>
                <w:sz w:val="15"/>
                <w:szCs w:val="15"/>
              </w:rPr>
              <w:t xml:space="preserve">sim/</w:t>
            </w:r>
            <w:r>
              <w:rPr>
                <w:rFonts w:ascii="Arial" w:cs="Arial" w:eastAsia="Arial" w:hAnsi="Arial"/>
                <w:sz w:val="17"/>
                <w:szCs w:val="17"/>
              </w:rPr>
              <w:t xml:space="preserve">)</w:t>
            </w:r>
          </w:p>
        </w:tc>
        <w:tc>
          <w:tcPr>
            <w:tcW w:type="dxa" w:w="25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World generation, ecology, physiology, observations</w:t>
            </w:r>
          </w:p>
        </w:tc>
        <w:tc>
          <w:tcPr>
            <w:tcW w:type="dxa" w:w="270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Courier New" w:cs="Courier New" w:eastAsia="Courier New" w:hAnsi="Courier New"/>
                <w:sz w:val="15"/>
                <w:szCs w:val="15"/>
              </w:rPr>
              <w:t xml:space="preserve">GenesisEnv.step(actions) -&gt; obs, reward, died, info</w:t>
            </w:r>
          </w:p>
        </w:tc>
        <w:tc>
          <w:tcPr>
            <w:tcW w:type="dxa" w:w="198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World-rule unit tests, determinism tests, benchmark</w:t>
            </w:r>
          </w:p>
        </w:tc>
      </w:tr>
      <w:tr>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Learning (</w:t>
            </w:r>
            <w:r>
              <w:rPr>
                <w:rFonts w:ascii="Courier New" w:cs="Courier New" w:eastAsia="Courier New" w:hAnsi="Courier New"/>
                <w:sz w:val="15"/>
                <w:szCs w:val="15"/>
              </w:rPr>
              <w:t xml:space="preserve">agents/</w:t>
            </w:r>
            <w:r>
              <w:rPr>
                <w:rFonts w:ascii="Arial" w:cs="Arial" w:eastAsia="Arial" w:hAnsi="Arial"/>
                <w:sz w:val="17"/>
                <w:szCs w:val="17"/>
              </w:rPr>
              <w:t xml:space="preserve">)</w:t>
            </w:r>
          </w:p>
        </w:tc>
        <w:tc>
          <w:tcPr>
            <w:tcW w:type="dxa" w:w="25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Shared actor-critic, PPO trainer, baselines</w:t>
            </w:r>
          </w:p>
        </w:tc>
        <w:tc>
          <w:tcPr>
            <w:tcW w:type="dxa" w:w="270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Courier New" w:cs="Courier New" w:eastAsia="Courier New" w:hAnsi="Courier New"/>
                <w:sz w:val="15"/>
                <w:szCs w:val="15"/>
              </w:rPr>
              <w:t xml:space="preserve">PolicyAgent.act(obs, alive)</w:t>
            </w:r>
            <w:r>
              <w:rPr>
                <w:rFonts w:ascii="Arial" w:cs="Arial" w:eastAsia="Arial" w:hAnsi="Arial"/>
                <w:sz w:val="17"/>
                <w:szCs w:val="17"/>
              </w:rPr>
              <w:t xml:space="preserve">, checkpoint format 2</w:t>
            </w:r>
          </w:p>
        </w:tc>
        <w:tc>
          <w:tcPr>
            <w:tcW w:type="dxa" w:w="198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Learner tests: determinism, unroll = stepwise, round-trip</w:t>
            </w:r>
          </w:p>
        </w:tc>
      </w:tr>
      <w:tr>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Measurement (</w:t>
            </w:r>
            <w:r>
              <w:rPr>
                <w:rFonts w:ascii="Courier New" w:cs="Courier New" w:eastAsia="Courier New" w:hAnsi="Courier New"/>
                <w:sz w:val="15"/>
                <w:szCs w:val="15"/>
              </w:rPr>
              <w:t xml:space="preserve">analysis/</w:t>
            </w:r>
            <w:r>
              <w:rPr>
                <w:rFonts w:ascii="Arial" w:cs="Arial" w:eastAsia="Arial" w:hAnsi="Arial"/>
                <w:sz w:val="17"/>
                <w:szCs w:val="17"/>
              </w:rPr>
              <w:t xml:space="preserve">, </w:t>
            </w:r>
            <w:r>
              <w:rPr>
                <w:rFonts w:ascii="Courier New" w:cs="Courier New" w:eastAsia="Courier New" w:hAnsi="Courier New"/>
                <w:sz w:val="15"/>
                <w:szCs w:val="15"/>
              </w:rPr>
              <w:t xml:space="preserve">experiments/</w:t>
            </w:r>
            <w:r>
              <w:rPr>
                <w:rFonts w:ascii="Arial" w:cs="Arial" w:eastAsia="Arial" w:hAnsi="Arial"/>
                <w:sz w:val="17"/>
                <w:szCs w:val="17"/>
              </w:rPr>
              <w:t xml:space="preserve">)</w:t>
            </w:r>
          </w:p>
        </w:tc>
        <w:tc>
          <w:tcPr>
            <w:tcW w:type="dxa" w:w="25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Recording, replay, survival statistics, behaviour</w:t>
            </w:r>
          </w:p>
        </w:tc>
        <w:tc>
          <w:tcPr>
            <w:tcW w:type="dxa" w:w="270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Courier New" w:cs="Courier New" w:eastAsia="Courier New" w:hAnsi="Courier New"/>
                <w:sz w:val="15"/>
                <w:szCs w:val="15"/>
              </w:rPr>
              <w:t xml:space="preserve">runs/&lt;run&gt;/</w:t>
            </w:r>
            <w:r>
              <w:rPr>
                <w:rFonts w:ascii="Arial" w:cs="Arial" w:eastAsia="Arial" w:hAnsi="Arial"/>
                <w:sz w:val="17"/>
                <w:szCs w:val="17"/>
              </w:rPr>
              <w:t xml:space="preserve"> (manifest, metrics, events, trajectory)</w:t>
            </w:r>
          </w:p>
        </w:tc>
        <w:tc>
          <w:tcPr>
            <w:tcW w:type="dxa" w:w="198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Replay is bit-exact; preregistered protocol</w:t>
            </w:r>
          </w:p>
        </w:tc>
      </w:tr>
      <w:tr>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Visualisation (</w:t>
            </w:r>
            <w:r>
              <w:rPr>
                <w:rFonts w:ascii="Courier New" w:cs="Courier New" w:eastAsia="Courier New" w:hAnsi="Courier New"/>
                <w:sz w:val="15"/>
                <w:szCs w:val="15"/>
              </w:rPr>
              <w:t xml:space="preserve">viewer/</w:t>
            </w:r>
            <w:r>
              <w:rPr>
                <w:rFonts w:ascii="Arial" w:cs="Arial" w:eastAsia="Arial" w:hAnsi="Arial"/>
                <w:sz w:val="17"/>
                <w:szCs w:val="17"/>
              </w:rPr>
              <w:t xml:space="preserve">)</w:t>
            </w:r>
          </w:p>
        </w:tc>
        <w:tc>
          <w:tcPr>
            <w:tcW w:type="dxa" w:w="25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Live 3-D view, dashboard, disturbance tools</w:t>
            </w:r>
          </w:p>
        </w:tc>
        <w:tc>
          <w:tcPr>
            <w:tcW w:type="dxa" w:w="270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Binary WebSocket frames; logged controls</w:t>
            </w:r>
          </w:p>
        </w:tc>
        <w:tc>
          <w:tcPr>
            <w:tcW w:type="dxa" w:w="198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Server smoke test; measured frame rate</w:t>
            </w:r>
          </w:p>
        </w:tc>
      </w:tr>
      <w:tr>
        <w:tc>
          <w:tcPr>
            <w:tcW w:type="dxa" w:w="1805"/>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Research operations</w:t>
            </w:r>
          </w:p>
        </w:tc>
        <w:tc>
          <w:tcPr>
            <w:tcW w:type="dxa" w:w="25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Rules, preregistration, logs, handoffs, CI</w:t>
            </w:r>
          </w:p>
        </w:tc>
        <w:tc>
          <w:tcPr>
            <w:tcW w:type="dxa" w:w="270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Courier New" w:cs="Courier New" w:eastAsia="Courier New" w:hAnsi="Courier New"/>
                <w:sz w:val="15"/>
                <w:szCs w:val="15"/>
              </w:rPr>
              <w:t xml:space="preserve">docs/</w:t>
            </w:r>
            <w:r>
              <w:rPr>
                <w:rFonts w:ascii="Arial" w:cs="Arial" w:eastAsia="Arial" w:hAnsi="Arial"/>
                <w:sz w:val="17"/>
                <w:szCs w:val="17"/>
              </w:rPr>
              <w:t xml:space="preserve">, </w:t>
            </w:r>
            <w:r>
              <w:rPr>
                <w:rFonts w:ascii="Courier New" w:cs="Courier New" w:eastAsia="Courier New" w:hAnsi="Courier New"/>
                <w:sz w:val="15"/>
                <w:szCs w:val="15"/>
              </w:rPr>
              <w:t xml:space="preserve">logs/</w:t>
            </w:r>
            <w:r>
              <w:rPr>
                <w:rFonts w:ascii="Arial" w:cs="Arial" w:eastAsia="Arial" w:hAnsi="Arial"/>
                <w:sz w:val="17"/>
                <w:szCs w:val="17"/>
              </w:rPr>
              <w:t xml:space="preserve">, </w:t>
            </w:r>
            <w:r>
              <w:rPr>
                <w:rFonts w:ascii="Courier New" w:cs="Courier New" w:eastAsia="Courier New" w:hAnsi="Courier New"/>
                <w:sz w:val="15"/>
                <w:szCs w:val="15"/>
              </w:rPr>
              <w:t xml:space="preserve">HANDOFF*.md</w:t>
            </w:r>
            <w:r>
              <w:rPr>
                <w:rFonts w:ascii="Arial" w:cs="Arial" w:eastAsia="Arial" w:hAnsi="Arial"/>
                <w:sz w:val="17"/>
                <w:szCs w:val="17"/>
              </w:rPr>
              <w:t xml:space="preserve">, pull requests</w:t>
            </w:r>
          </w:p>
        </w:tc>
        <w:tc>
          <w:tcPr>
            <w:tcW w:type="dxa" w:w="1986"/>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Review checklist; CI</w:t>
            </w:r>
          </w:p>
        </w:tc>
      </w:tr>
    </w:tbl>
    <w:p>
      <w:pPr>
        <w:pStyle w:val="Heading1"/>
        <w:keepNext/>
      </w:pPr>
      <w:r>
        <w:rPr>
          <w:rFonts w:ascii="Arial" w:cs="Arial" w:eastAsia="Arial" w:hAnsi="Arial"/>
          <w:b/>
          <w:bCs/>
          <w:color w:val="1F4E8C"/>
          <w:sz w:val="32"/>
          <w:szCs w:val="32"/>
        </w:rPr>
        <w:t xml:space="preserve">3. The world and the agent</w:t>
      </w:r>
    </w:p>
    <w:p>
      <w:pPr>
        <w:spacing w:before="120" w:after="60"/>
        <w:jc w:val="center"/>
      </w:pPr>
      <w:r>
        <w:drawing>
          <wp:inline distT="0" distB="0" distL="0" distR="0">
            <wp:extent cx="5334000" cy="1533525"/>
            <wp:effectExtent t="0" r="0" b="0" l="0"/>
            <wp:docPr id="1" name="fig1_terrain_seeds.png" descr="Figure 3. Procedurally generated islands for several seeds (Stage 1 evidence)." title="Figure 3. Procedurally generated islands for several seeds (Stage 1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533525"/>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3. Procedurally generated islands for several seeds (Stage 1 evidence).</w:t>
      </w:r>
    </w:p>
    <w:p>
      <w:pPr>
        <w:pStyle w:val="Normal"/>
        <w:numPr>
          <w:ilvl w:val="0"/>
          <w:numId w:val="2"/>
        </w:numPr>
        <w:spacing w:after="60" w:line="276"/>
      </w:pPr>
      <w:r>
        <w:rPr>
          <w:rFonts w:ascii="Arial" w:cs="Arial" w:eastAsia="Arial" w:hAnsi="Arial"/>
          <w:b/>
          <w:bCs/>
          <w:sz w:val="21"/>
          <w:szCs w:val="21"/>
        </w:rPr>
        <w:t xml:space="preserve">World:</w:t>
      </w:r>
      <w:r>
        <w:rPr>
          <w:rFonts w:ascii="Arial" w:cs="Arial" w:eastAsia="Arial" w:hAnsi="Arial"/>
          <w:sz w:val="21"/>
          <w:szCs w:val="21"/>
        </w:rPr>
        <w:t xml:space="preserve"> 256 x 256 cells; elevation from fractal noise; lakes by priority-flood [Barnes2014]; rivers by flow accumulation; ten terrain classes. The ocean is salt water, so fresh water is spatially scarce.</w:t>
      </w:r>
    </w:p>
    <w:p>
      <w:pPr>
        <w:pStyle w:val="Normal"/>
        <w:numPr>
          <w:ilvl w:val="0"/>
          <w:numId w:val="2"/>
        </w:numPr>
        <w:spacing w:after="60" w:line="276"/>
      </w:pPr>
      <w:r>
        <w:rPr>
          <w:rFonts w:ascii="Arial" w:cs="Arial" w:eastAsia="Arial" w:hAnsi="Arial"/>
          <w:b/>
          <w:bCs/>
          <w:sz w:val="21"/>
          <w:szCs w:val="21"/>
        </w:rPr>
        <w:t xml:space="preserve">Ecology:</w:t>
      </w:r>
      <w:r>
        <w:rPr>
          <w:rFonts w:ascii="Arial" w:cs="Arial" w:eastAsia="Arial" w:hAnsi="Arial"/>
          <w:sz w:val="21"/>
          <w:szCs w:val="21"/>
        </w:rPr>
        <w:t xml:space="preserve"> plants with seasonal regrowth, fruiting trees, small prey, large prey that need two or more simultaneous attackers, and predators. Fauna are limited by food, not by caps.</w:t>
      </w:r>
    </w:p>
    <w:p>
      <w:pPr>
        <w:pStyle w:val="Normal"/>
        <w:numPr>
          <w:ilvl w:val="0"/>
          <w:numId w:val="2"/>
        </w:numPr>
        <w:spacing w:after="60" w:line="276"/>
      </w:pPr>
      <w:r>
        <w:rPr>
          <w:rFonts w:ascii="Arial" w:cs="Arial" w:eastAsia="Arial" w:hAnsi="Arial"/>
          <w:b/>
          <w:bCs/>
          <w:sz w:val="21"/>
          <w:szCs w:val="21"/>
        </w:rPr>
        <w:t xml:space="preserve">Climate:</w:t>
      </w:r>
      <w:r>
        <w:rPr>
          <w:rFonts w:ascii="Arial" w:cs="Arial" w:eastAsia="Arial" w:hAnsi="Arial"/>
          <w:sz w:val="21"/>
          <w:szCs w:val="21"/>
        </w:rPr>
        <w:t xml:space="preserve"> day/night, four seasons, a weather Markov chain (rain, fog), droughts, cold snaps, famines, wildfires and floods.</w:t>
      </w:r>
    </w:p>
    <w:p>
      <w:pPr>
        <w:pStyle w:val="Normal"/>
        <w:numPr>
          <w:ilvl w:val="0"/>
          <w:numId w:val="2"/>
        </w:numPr>
        <w:spacing w:after="60" w:line="276"/>
      </w:pPr>
      <w:r>
        <w:rPr>
          <w:rFonts w:ascii="Arial" w:cs="Arial" w:eastAsia="Arial" w:hAnsi="Arial"/>
          <w:b/>
          <w:bCs/>
          <w:sz w:val="21"/>
          <w:szCs w:val="21"/>
        </w:rPr>
        <w:t xml:space="preserve">Agent body:</w:t>
      </w:r>
      <w:r>
        <w:rPr>
          <w:rFonts w:ascii="Arial" w:cs="Arial" w:eastAsia="Arial" w:hAnsi="Arial"/>
          <w:sz w:val="21"/>
          <w:szCs w:val="21"/>
        </w:rPr>
        <w:t xml:space="preserve"> energy, hydration, health and warmth. Eleven actions: wait, move (4), rest, eat, drink, hunt, pick up, drop.</w:t>
      </w:r>
    </w:p>
    <w:p>
      <w:pPr>
        <w:pStyle w:val="Normal"/>
        <w:numPr>
          <w:ilvl w:val="0"/>
          <w:numId w:val="2"/>
        </w:numPr>
        <w:spacing w:after="60" w:line="276"/>
      </w:pPr>
      <w:r>
        <w:rPr>
          <w:rFonts w:ascii="Arial" w:cs="Arial" w:eastAsia="Arial" w:hAnsi="Arial"/>
          <w:b/>
          <w:bCs/>
          <w:sz w:val="21"/>
          <w:szCs w:val="21"/>
        </w:rPr>
        <w:t xml:space="preserve">Perception:</w:t>
      </w:r>
      <w:r>
        <w:rPr>
          <w:rFonts w:ascii="Arial" w:cs="Arial" w:eastAsia="Arial" w:hAnsi="Arial"/>
          <w:sz w:val="21"/>
          <w:szCs w:val="21"/>
        </w:rPr>
        <w:t xml:space="preserve"> an 11 x 11 egocentric, occluded view with 16 channels, plus 13 body signals and nearby-agent features.</w:t>
      </w:r>
    </w:p>
    <w:p>
      <w:pPr>
        <w:spacing w:before="120" w:after="60"/>
        <w:jc w:val="center"/>
      </w:pPr>
      <w:r>
        <w:drawing>
          <wp:inline distT="0" distB="0" distL="0" distR="0">
            <wp:extent cx="5715000" cy="2314575"/>
            <wp:effectExtent t="0" r="0" b="0" l="0"/>
            <wp:docPr id="1" name="09_homeostatic_reward.png" descr="Figure 4. Homeostatic reward: the agent is paid for reducing its own distance below the set-point (diagram by Advik Divekar)." title="Figure 4. Homeostatic reward: the agent is paid for reducing its own distance below the set-point (diagram by Advik Dive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14575"/>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4. Homeostatic reward: the agent is paid for reducing its own distance below the set-point (diagram by Advik Divekar).</w:t>
      </w:r>
    </w:p>
    <w:p>
      <w:pPr>
        <w:pStyle w:val="Heading1"/>
        <w:keepNext/>
      </w:pPr>
      <w:r>
        <w:rPr>
          <w:rFonts w:ascii="Arial" w:cs="Arial" w:eastAsia="Arial" w:hAnsi="Arial"/>
          <w:b/>
          <w:bCs/>
          <w:color w:val="1F4E8C"/>
          <w:sz w:val="32"/>
          <w:szCs w:val="32"/>
        </w:rPr>
        <w:t xml:space="preserve">4. Key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437"/>
        <w:gridCol w:w="4062"/>
      </w:tblGrid>
      <w:tr>
        <w:trPr>
          <w:tblHeader/>
        </w:trPr>
        <w:tc>
          <w:tcPr>
            <w:tcW w:type="dxa" w:w="2527"/>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Decision</w:t>
            </w:r>
          </w:p>
        </w:tc>
        <w:tc>
          <w:tcPr>
            <w:tcW w:type="dxa" w:w="2437"/>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Alternatives considered</w:t>
            </w:r>
          </w:p>
        </w:tc>
        <w:tc>
          <w:tcPr>
            <w:tcW w:type="dxa" w:w="4062"/>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Reason</w:t>
            </w:r>
          </w:p>
        </w:tc>
      </w:tr>
      <w:tr>
        <w:tc>
          <w:tcPr>
            <w:tcW w:type="dxa" w:w="25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Shared network for all agents, per-agent memory</w:t>
            </w:r>
          </w:p>
        </w:tc>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Independent networks per agent</w:t>
            </w:r>
          </w:p>
        </w:tc>
        <w:tc>
          <w:tcPr>
            <w:tcW w:type="dxa" w:w="406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1,000 independent networks do not fit in 16-18 GB; sharing is standard and keeps learning stable. Independent learners remain an ablation.</w:t>
            </w:r>
          </w:p>
        </w:tc>
      </w:tr>
      <w:tr>
        <w:tc>
          <w:tcPr>
            <w:tcW w:type="dxa" w:w="25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Counter-based hash RNG (seed, tick, index, stream)</w:t>
            </w:r>
          </w:p>
        </w:tc>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Global NumPy RNG</w:t>
            </w:r>
          </w:p>
        </w:tc>
        <w:tc>
          <w:tcPr>
            <w:tcW w:type="dxa" w:w="406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Results identical regardless of thread count and order of evaluation</w:t>
            </w:r>
          </w:p>
        </w:tc>
      </w:tr>
      <w:tr>
        <w:tc>
          <w:tcPr>
            <w:tcW w:type="dxa" w:w="25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One fused Numba call per tick</w:t>
            </w:r>
          </w:p>
        </w:tc>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Separate kernels called from Python</w:t>
            </w:r>
          </w:p>
        </w:tc>
        <w:tc>
          <w:tcPr>
            <w:tcW w:type="dxa" w:w="406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Each extra Python-side dispatch costs ~5-10 us; fusing reached the throughput target</w:t>
            </w:r>
          </w:p>
        </w:tc>
      </w:tr>
      <w:tr>
        <w:tc>
          <w:tcPr>
            <w:tcW w:type="dxa" w:w="25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Large prey need &gt;= 2 attackers</w:t>
            </w:r>
          </w:p>
        </w:tc>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Single-agent hunting only</w:t>
            </w:r>
          </w:p>
        </w:tc>
        <w:tc>
          <w:tcPr>
            <w:tcW w:type="dxa" w:w="406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Creates a stag-hunt affordance: cooperation can pay, but is never rewarded directly</w:t>
            </w:r>
          </w:p>
        </w:tc>
      </w:tr>
      <w:tr>
        <w:tc>
          <w:tcPr>
            <w:tcW w:type="dxa" w:w="252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Held-out test worlds 0-4; training worlds 1000+</w:t>
            </w:r>
          </w:p>
        </w:tc>
        <w:tc>
          <w:tcPr>
            <w:tcW w:type="dxa" w:w="2437"/>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Evaluate on training worlds</w:t>
            </w:r>
          </w:p>
        </w:tc>
        <w:tc>
          <w:tcPr>
            <w:tcW w:type="dxa" w:w="4062"/>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Separates learning from memorising a map</w:t>
            </w:r>
          </w:p>
        </w:tc>
      </w:tr>
    </w:tbl>
    <w:p>
      <w:pPr>
        <w:pStyle w:val="Heading1"/>
        <w:keepNext/>
      </w:pPr>
      <w:r>
        <w:rPr>
          <w:rFonts w:ascii="Arial" w:cs="Arial" w:eastAsia="Arial" w:hAnsi="Arial"/>
          <w:b/>
          <w:bCs/>
          <w:color w:val="1F4E8C"/>
          <w:sz w:val="32"/>
          <w:szCs w:val="32"/>
        </w:rPr>
        <w:t xml:space="preserve">5. Feasibility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4694"/>
        <w:gridCol w:w="1624"/>
      </w:tblGrid>
      <w:tr>
        <w:trPr>
          <w:tblHeader/>
        </w:trPr>
        <w:tc>
          <w:tcPr>
            <w:tcW w:type="dxa" w:w="2708"/>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Question</w:t>
            </w:r>
          </w:p>
        </w:tc>
        <w:tc>
          <w:tcPr>
            <w:tcW w:type="dxa" w:w="4694"/>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Estimate or measurement</w:t>
            </w:r>
          </w:p>
        </w:tc>
        <w:tc>
          <w:tcPr>
            <w:tcW w:type="dxa" w:w="1624"/>
            <w:tcBorders>
              <w:top w:val="single" w:color="C9C8C3" w:sz="4"/>
              <w:left w:val="single" w:color="C9C8C3" w:sz="4"/>
              <w:bottom w:val="single" w:color="C9C8C3" w:sz="4"/>
              <w:right w:val="single" w:color="C9C8C3" w:sz="4"/>
            </w:tcBorders>
            <w:shd w:fill="E3EAF4" w:color="auto" w:val="clear"/>
            <w:tcMar>
              <w:top w:type="dxa" w:w="60"/>
              <w:left w:type="dxa" w:w="100"/>
              <w:bottom w:type="dxa" w:w="60"/>
              <w:right w:type="dxa" w:w="100"/>
            </w:tcMar>
          </w:tcPr>
          <w:p>
            <w:pPr>
              <w:pStyle w:val="Normal"/>
              <w:spacing w:after="20" w:line="252"/>
            </w:pPr>
            <w:r>
              <w:rPr>
                <w:rFonts w:ascii="Arial" w:cs="Arial" w:eastAsia="Arial" w:hAnsi="Arial"/>
                <w:b/>
                <w:bCs/>
                <w:sz w:val="17"/>
                <w:szCs w:val="17"/>
              </w:rPr>
              <w:t xml:space="preserve">Verdict</w:t>
            </w:r>
          </w:p>
        </w:tc>
      </w:tr>
      <w:tr>
        <w:tc>
          <w:tcPr>
            <w:tcW w:type="dxa" w:w="270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Can the world run fast enough?</w:t>
            </w:r>
          </w:p>
        </w:tc>
        <w:tc>
          <w:tcPr>
            <w:tcW w:type="dxa" w:w="469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Measured 112k env steps/min with observations at 1,000 agents (MacBook Air M4)</w:t>
            </w:r>
          </w:p>
        </w:tc>
        <w:tc>
          <w:tcPr>
            <w:tcW w:type="dxa" w:w="162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Feasible</w:t>
            </w:r>
          </w:p>
        </w:tc>
      </w:tr>
      <w:tr>
        <w:tc>
          <w:tcPr>
            <w:tcW w:type="dxa" w:w="270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Can agents learn on a laptop?</w:t>
            </w:r>
          </w:p>
        </w:tc>
        <w:tc>
          <w:tcPr>
            <w:tcW w:type="dxa" w:w="469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20M agent-steps of PPO in 1.0-1.7 h on the Air with two runs sharing it; about 50 min on the M3 Pro</w:t>
            </w:r>
          </w:p>
        </w:tc>
        <w:tc>
          <w:tcPr>
            <w:tcW w:type="dxa" w:w="162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Feasible for 20-100M steps</w:t>
            </w:r>
          </w:p>
        </w:tc>
      </w:tr>
      <w:tr>
        <w:tc>
          <w:tcPr>
            <w:tcW w:type="dxa" w:w="270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Can we keep all the data?</w:t>
            </w:r>
          </w:p>
        </w:tc>
        <w:tc>
          <w:tcPr>
            <w:tcW w:type="dxa" w:w="469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Full recording costs ~63 MB per simulated year at 256 agents; thinning to 1 rollout in 20 keeps a 100M-step run near 0.5 GB</w:t>
            </w:r>
          </w:p>
        </w:tc>
        <w:tc>
          <w:tcPr>
            <w:tcW w:type="dxa" w:w="162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Feasible with thinning</w:t>
            </w:r>
          </w:p>
        </w:tc>
      </w:tr>
      <w:tr>
        <w:tc>
          <w:tcPr>
            <w:tcW w:type="dxa" w:w="270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Can we show it live?</w:t>
            </w:r>
          </w:p>
        </w:tc>
        <w:tc>
          <w:tcPr>
            <w:tcW w:type="dxa" w:w="469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75-90 fps at 1,000 agents in the browser (M3 Pro)</w:t>
            </w:r>
          </w:p>
        </w:tc>
        <w:tc>
          <w:tcPr>
            <w:tcW w:type="dxa" w:w="162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Feasible</w:t>
            </w:r>
          </w:p>
        </w:tc>
      </w:tr>
      <w:tr>
        <w:tc>
          <w:tcPr>
            <w:tcW w:type="dxa" w:w="2708"/>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Can results be trusted?</w:t>
            </w:r>
          </w:p>
        </w:tc>
        <w:tc>
          <w:tcPr>
            <w:tcW w:type="dxa" w:w="469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Seeded, bit-identical runs; baselines reproduce bit-for-bit across both machines</w:t>
            </w:r>
          </w:p>
        </w:tc>
        <w:tc>
          <w:tcPr>
            <w:tcW w:type="dxa" w:w="1624"/>
            <w:tcBorders>
              <w:top w:val="single" w:color="C9C8C3" w:sz="4"/>
              <w:left w:val="single" w:color="C9C8C3" w:sz="4"/>
              <w:bottom w:val="single" w:color="C9C8C3" w:sz="4"/>
              <w:right w:val="single" w:color="C9C8C3" w:sz="4"/>
            </w:tcBorders>
            <w:tcMar>
              <w:top w:type="dxa" w:w="60"/>
              <w:left w:type="dxa" w:w="100"/>
              <w:bottom w:type="dxa" w:w="60"/>
              <w:right w:type="dxa" w:w="100"/>
            </w:tcMar>
          </w:tcPr>
          <w:p>
            <w:pPr>
              <w:pStyle w:val="Normal"/>
              <w:spacing w:after="20" w:line="252"/>
            </w:pPr>
            <w:r>
              <w:rPr>
                <w:rFonts w:ascii="Arial" w:cs="Arial" w:eastAsia="Arial" w:hAnsi="Arial"/>
                <w:sz w:val="17"/>
                <w:szCs w:val="17"/>
              </w:rPr>
              <w:t xml:space="preserve">Feasible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CE6" w:sz="4"/>
              <w:left w:val="single" w:color="B9CCE6" w:sz="4"/>
              <w:bottom w:val="single" w:color="B9CCE6" w:sz="4"/>
              <w:right w:val="single" w:color="B9CCE6" w:sz="4"/>
            </w:tcBorders>
            <w:shd w:fill="EEF3FA" w:color="auto" w:val="clear"/>
            <w:tcMar>
              <w:top w:type="dxa" w:w="120"/>
              <w:left w:type="dxa" w:w="180"/>
              <w:bottom w:type="dxa" w:w="120"/>
              <w:right w:type="dxa" w:w="180"/>
            </w:tcMar>
          </w:tcPr>
          <w:p>
            <w:pPr>
              <w:pStyle w:val="Normal"/>
              <w:spacing w:after="80"/>
            </w:pPr>
            <w:r>
              <w:rPr>
                <w:rFonts w:ascii="Arial" w:cs="Arial" w:eastAsia="Arial" w:hAnsi="Arial"/>
                <w:b/>
                <w:bCs/>
                <w:color w:val="1F4E8C"/>
                <w:sz w:val="21"/>
                <w:szCs w:val="21"/>
              </w:rPr>
              <w:t xml:space="preserve">Main risks at concept stage</w:t>
            </w:r>
          </w:p>
          <w:p>
            <w:pPr>
              <w:pStyle w:val="Normal"/>
              <w:spacing w:after="60" w:line="276"/>
            </w:pPr>
            <w:r>
              <w:rPr>
                <w:rFonts w:ascii="Arial" w:cs="Arial" w:eastAsia="Arial" w:hAnsi="Arial"/>
                <w:sz w:val="21"/>
                <w:szCs w:val="21"/>
              </w:rPr>
              <w:t xml:space="preserve">Learners might never discover cooperative strategies such as group hunting (the most likely negative result). The testbed is still valuable if it measures that absence rigorously, so the plan treats it as a reportable outcome, not a failure.</w:t>
            </w:r>
          </w:p>
          <w:p>
            <w:pPr>
              <w:pStyle w:val="Normal"/>
              <w:spacing w:after="60" w:line="276"/>
            </w:pPr>
            <w:r>
              <w:rPr>
                <w:rFonts w:ascii="Arial" w:cs="Arial" w:eastAsia="Arial" w:hAnsi="Arial"/>
                <w:sz w:val="21"/>
                <w:szCs w:val="21"/>
              </w:rPr>
              <w:t xml:space="preserve">Compute and heat on fanless laptops; mitigated by moving long runs to the M3 Pro and thinning recordings.</w:t>
            </w:r>
          </w:p>
        </w:tc>
      </w:tr>
    </w:tbl>
    <w:p>
      <w:pPr>
        <w:pStyle w:val="Heading1"/>
        <w:keepNext/>
      </w:pPr>
      <w:r>
        <w:rPr>
          <w:rFonts w:ascii="Arial" w:cs="Arial" w:eastAsia="Arial" w:hAnsi="Arial"/>
          <w:b/>
          <w:bCs/>
          <w:color w:val="1F4E8C"/>
          <w:sz w:val="32"/>
          <w:szCs w:val="32"/>
        </w:rPr>
        <w:t xml:space="preserve">6. From concept to plan</w:t>
      </w:r>
    </w:p>
    <w:p>
      <w:pPr>
        <w:spacing w:before="120" w:after="60"/>
        <w:jc w:val="center"/>
      </w:pPr>
      <w:r>
        <w:drawing>
          <wp:inline distT="0" distB="0" distL="0" distR="0">
            <wp:extent cx="5715000" cy="2914650"/>
            <wp:effectExtent t="0" r="0" b="0" l="0"/>
            <wp:docPr id="1" name="v04_roadmap.png" descr="Figure 5. Three-semester roadmap with current status." title="Figure 5. Three-semester roadmap with curren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14650"/>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Figure 5. Three-semester roadmap with current status.</w:t>
      </w:r>
    </w:p>
    <w:p>
      <w:pPr>
        <w:pStyle w:val="Heading1"/>
        <w:keepNext/>
      </w:pPr>
      <w:r>
        <w:rPr>
          <w:rFonts w:ascii="Arial" w:cs="Arial" w:eastAsia="Arial" w:hAnsi="Arial"/>
          <w:b/>
          <w:bCs/>
          <w:color w:val="1F4E8C"/>
          <w:sz w:val="32"/>
          <w:szCs w:val="32"/>
        </w:rPr>
        <w:t xml:space="preserve">References</w:t>
      </w:r>
    </w:p>
    <w:p>
      <w:pPr>
        <w:pStyle w:val="Normal"/>
        <w:spacing w:after="120" w:line="288"/>
      </w:pPr>
      <w:r>
        <w:rPr>
          <w:rFonts w:ascii="Arial" w:cs="Arial" w:eastAsia="Arial" w:hAnsi="Arial"/>
          <w:sz w:val="18"/>
          <w:szCs w:val="18"/>
        </w:rPr>
        <w:t xml:space="preserve">[Barnes2014] R. Barnes, C. Lehman, D. Mulla. Priority-Flood: an optimal depression-filling and watershed-labeling algorithm for digital elevation models. Computers &amp; Geosciences, 2014. arXiv:1511.04463.</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984"/>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984"/>
        <w:sz w:val="16"/>
        <w:szCs w:val="16"/>
      </w:rPr>
      <w:t xml:space="preserve">GENESIS  |  Initial System Concept &amp; Feasibility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spacing w:after="120" w:line="288"/>
    </w:pPr>
    <w:rPr>
      <w:rFonts w:ascii="Arial" w:cs="Arial" w:eastAsia="Arial" w:hAnsi="Arial"/>
      <w:b w:val="false"/>
      <w:bCs w:val="false"/>
      <w:color w:val="1B1B1A"/>
      <w:sz w:val="21"/>
      <w:szCs w:val="21"/>
    </w:rPr>
  </w:style>
  <w:style w:type="paragraph" w:styleId="Heading1">
    <w:name w:val="Heading 1"/>
    <w:basedOn w:val="Normal"/>
    <w:next w:val="Normal"/>
    <w:qFormat/>
    <w:pPr>
      <w:spacing w:before="360" w:after="160"/>
      <w:outlineLvl w:val="0"/>
    </w:pPr>
    <w:rPr>
      <w:rFonts w:ascii="Arial" w:cs="Arial" w:eastAsia="Arial" w:hAnsi="Arial"/>
      <w:b/>
      <w:bCs/>
      <w:color w:val="1F4E8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1B1A"/>
      <w:sz w:val="25"/>
      <w:szCs w:val="25"/>
    </w:rPr>
  </w:style>
  <w:style w:type="paragraph" w:styleId="Heading3">
    <w:name w:val="Heading 3"/>
    <w:basedOn w:val="Normal"/>
    <w:next w:val="Normal"/>
    <w:qFormat/>
    <w:pPr>
      <w:spacing w:before="180" w:after="80"/>
      <w:outlineLvl w:val="2"/>
    </w:pPr>
    <w:rPr>
      <w:rFonts w:ascii="Arial" w:cs="Arial" w:eastAsia="Arial" w:hAnsi="Arial"/>
      <w:b/>
      <w:bCs/>
      <w:color w:val="5251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ebbad81888d822c9fce79c20b64000b13a99a46.png"/><Relationship Id="rId9" Type="http://schemas.openxmlformats.org/officeDocument/2006/relationships/image" Target="media/40d76e057542477ded4213d05bb948d962c8614a.png"/><Relationship Id="rId10" Type="http://schemas.openxmlformats.org/officeDocument/2006/relationships/image" Target="media/331888faeb4270bb0cd86e66e3e08a056cfb722d.png"/><Relationship Id="rId11" Type="http://schemas.openxmlformats.org/officeDocument/2006/relationships/image" Target="media/3e06b2546d5a7b445c80697df6d9f0e7adec0f08.png"/><Relationship Id="rId12" Type="http://schemas.openxmlformats.org/officeDocument/2006/relationships/image" Target="media/733f2983039890b23d263608a309350032f078e2.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System Concept &amp; Feasibility</dc:title>
  <dc:creator>Heet Ranpura, Advik Divekar</dc:creator>
  <dc:description>GENESIS VIP report: Initial System Concept &amp; Feasibility</dc:description>
  <cp:lastModifiedBy>Un-named</cp:lastModifiedBy>
  <cp:revision>1</cp:revision>
  <dcterms:created xsi:type="dcterms:W3CDTF">2026-10-27T15:25:51.470Z</dcterms:created>
  <dcterms:modified xsi:type="dcterms:W3CDTF">2026-10-27T15:25:51.470Z</dcterms:modified>
</cp:coreProperties>
</file>

<file path=docProps/custom.xml><?xml version="1.0" encoding="utf-8"?>
<Properties xmlns="http://schemas.openxmlformats.org/officeDocument/2006/custom-properties" xmlns:vt="http://schemas.openxmlformats.org/officeDocument/2006/docPropsVTypes"/>
</file>