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2D95CBD1"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2B2C73">
        <w:rPr>
          <w:rFonts w:ascii="Arial" w:hAnsi="Arial" w:cs="Arial"/>
        </w:rPr>
        <w:t>26</w:t>
      </w:r>
      <w:r w:rsidR="004465C0">
        <w:rPr>
          <w:rFonts w:ascii="Arial" w:hAnsi="Arial" w:cs="Arial"/>
        </w:rPr>
        <w:t>.</w:t>
      </w:r>
      <w:r w:rsidRPr="00BA62F8">
        <w:rPr>
          <w:rFonts w:ascii="Arial" w:hAnsi="Arial" w:cs="Arial"/>
        </w:rPr>
        <w:t xml:space="preserve"> </w:t>
      </w:r>
      <w:r w:rsidR="00CB450D">
        <w:rPr>
          <w:rFonts w:ascii="Arial" w:hAnsi="Arial" w:cs="Arial"/>
        </w:rPr>
        <w:t>June</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B0C0A7D"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B2C73">
              <w:rPr>
                <w:rFonts w:ascii="Arial" w:hAnsi="Arial" w:cs="Arial"/>
                <w:b/>
                <w:kern w:val="0"/>
              </w:rPr>
              <w:t>5</w:t>
            </w:r>
            <w:r w:rsidR="00256CCA">
              <w:rPr>
                <w:rFonts w:ascii="Arial" w:hAnsi="Arial" w:cs="Arial"/>
                <w:b/>
                <w:kern w:val="0"/>
              </w:rPr>
              <w:t>.</w:t>
            </w:r>
            <w:r w:rsidR="002B2C73">
              <w:rPr>
                <w:rFonts w:ascii="Arial" w:hAnsi="Arial" w:cs="Arial"/>
                <w:b/>
                <w:kern w:val="0"/>
              </w:rPr>
              <w:t>9</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BACFE95" w:rsidR="00633555" w:rsidRPr="00BA62F8" w:rsidRDefault="00B912C6">
            <w:pPr>
              <w:snapToGrid w:val="0"/>
              <w:spacing w:after="280"/>
              <w:rPr>
                <w:rFonts w:ascii="Arial" w:hAnsi="Arial" w:cs="Arial"/>
              </w:rPr>
            </w:pPr>
            <w:r>
              <w:rPr>
                <w:rFonts w:ascii="Arial" w:hAnsi="Arial" w:cs="Arial"/>
                <w:b/>
                <w:bCs/>
              </w:rPr>
              <w:t>x</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1A91163C"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71C5AA5C"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7B47E7">
        <w:rPr>
          <w:rFonts w:ascii="Arial" w:hAnsi="Arial" w:cs="Arial"/>
        </w:rPr>
        <w:t>Software</w:t>
      </w:r>
    </w:p>
    <w:p w14:paraId="4C6EA8DB" w14:textId="1552345B"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xml:space="preserve">. </w:t>
      </w:r>
      <w:r w:rsidR="00CB450D">
        <w:rPr>
          <w:rFonts w:ascii="Arial" w:hAnsi="Arial" w:cs="Arial"/>
          <w:lang w:val="de-DE"/>
        </w:rPr>
        <w:t>Akkodis</w:t>
      </w:r>
      <w:r w:rsidRPr="00256CCA">
        <w:rPr>
          <w:rFonts w:ascii="Arial" w:hAnsi="Arial" w:cs="Arial"/>
          <w:lang w:val="de-DE"/>
        </w:rPr>
        <w:t xml:space="preserve"> in </w:t>
      </w:r>
      <w:r w:rsidR="00CB450D">
        <w:rPr>
          <w:rFonts w:ascii="Arial" w:hAnsi="Arial" w:cs="Arial"/>
          <w:lang w:val="de-DE"/>
        </w:rPr>
        <w:t>Stuttgart</w:t>
      </w:r>
      <w:r w:rsidRPr="00256CCA">
        <w:rPr>
          <w:rFonts w:ascii="Arial" w:hAnsi="Arial" w:cs="Arial"/>
          <w:lang w:val="de-DE"/>
        </w:rPr>
        <w:t>/Remote</w:t>
      </w:r>
    </w:p>
    <w:p w14:paraId="2FC64330" w14:textId="3A3DC9D6" w:rsidR="007B47E7" w:rsidRPr="00A26CB9" w:rsidRDefault="003D2075" w:rsidP="00A26CB9">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7B47E7" w:rsidRPr="007B47E7">
        <w:rPr>
          <w:rFonts w:ascii="Arial" w:hAnsi="Arial" w:cs="Arial"/>
        </w:rPr>
        <w:t>Edgar</w:t>
      </w:r>
      <w:r w:rsidR="007B47E7">
        <w:rPr>
          <w:rFonts w:ascii="Arial" w:hAnsi="Arial" w:cs="Arial"/>
        </w:rPr>
        <w:t xml:space="preserve"> </w:t>
      </w:r>
      <w:r w:rsidR="007B47E7" w:rsidRPr="007B47E7">
        <w:rPr>
          <w:rFonts w:ascii="Arial" w:hAnsi="Arial" w:cs="Arial"/>
        </w:rPr>
        <w:t>Klein</w:t>
      </w:r>
      <w:r w:rsidR="00A26CB9">
        <w:rPr>
          <w:rFonts w:ascii="Arial" w:hAnsi="Arial" w:cs="Arial"/>
        </w:rPr>
        <w:t xml:space="preserve"> </w:t>
      </w:r>
      <w:r w:rsidR="00A26CB9">
        <w:rPr>
          <w:rFonts w:ascii="Arial" w:hAnsi="Arial" w:cs="Arial"/>
          <w:lang w:val="de-DE"/>
        </w:rPr>
        <w:t>Co</w:t>
      </w:r>
      <w:r w:rsidR="00A26CB9" w:rsidRPr="00A26CB9">
        <w:rPr>
          <w:rFonts w:ascii="Arial" w:hAnsi="Arial" w:cs="Arial"/>
          <w:lang w:val="de-DE"/>
        </w:rPr>
        <w:t>. Akkodis</w:t>
      </w:r>
    </w:p>
    <w:p w14:paraId="5B18329A" w14:textId="62B1DD65" w:rsidR="008A7EE7" w:rsidRDefault="007B47E7" w:rsidP="007B47E7">
      <w:pPr>
        <w:pStyle w:val="Normal1"/>
        <w:ind w:left="1418"/>
        <w:rPr>
          <w:rFonts w:ascii="Arial" w:hAnsi="Arial" w:cs="Arial"/>
          <w:bCs/>
          <w:lang w:val="de-DE"/>
        </w:rPr>
      </w:pPr>
      <w:hyperlink r:id="rId11" w:history="1">
        <w:r w:rsidRPr="00337556">
          <w:rPr>
            <w:rStyle w:val="Hyperlink"/>
            <w:rFonts w:ascii="Arial" w:hAnsi="Arial" w:cs="Arial"/>
            <w:bCs/>
          </w:rPr>
          <w:t>https://www.akkodis.com/de</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Satellite navigation</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lastRenderedPageBreak/>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 xml:space="preserve">SOAP, Liquibase, VMware vSphere, Keycloak, IAM, JWT, OpenID Connect /OAuth2, Websockets, nrwl/nx, nx.dev, Cypress, TypeScript, JavaScript, </w:t>
            </w:r>
            <w:r w:rsidRPr="00BA62F8">
              <w:rPr>
                <w:rFonts w:ascii="Arial" w:hAnsi="Arial" w:cs="Arial"/>
              </w:rPr>
              <w:lastRenderedPageBreak/>
              <w:t>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w:t>
            </w:r>
            <w:r w:rsidR="00AF0266" w:rsidRPr="00BA62F8">
              <w:rPr>
                <w:rFonts w:ascii="Arial" w:hAnsi="Arial" w:cs="Arial"/>
                <w:lang w:val="en-GB"/>
              </w:rPr>
              <w:lastRenderedPageBreak/>
              <w:t>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A2969"/>
    <w:rsid w:val="001B31CB"/>
    <w:rsid w:val="00230500"/>
    <w:rsid w:val="0023168A"/>
    <w:rsid w:val="00236AED"/>
    <w:rsid w:val="0024100B"/>
    <w:rsid w:val="0025288D"/>
    <w:rsid w:val="00256CCA"/>
    <w:rsid w:val="00267F2D"/>
    <w:rsid w:val="002706CE"/>
    <w:rsid w:val="002843AF"/>
    <w:rsid w:val="002917FF"/>
    <w:rsid w:val="002B2C73"/>
    <w:rsid w:val="002C72CA"/>
    <w:rsid w:val="002E2941"/>
    <w:rsid w:val="002F724A"/>
    <w:rsid w:val="002F7259"/>
    <w:rsid w:val="00361C01"/>
    <w:rsid w:val="003C3E52"/>
    <w:rsid w:val="003D2075"/>
    <w:rsid w:val="00400B2C"/>
    <w:rsid w:val="00403978"/>
    <w:rsid w:val="00407837"/>
    <w:rsid w:val="004147D5"/>
    <w:rsid w:val="004237B0"/>
    <w:rsid w:val="004465C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A64F2"/>
    <w:rsid w:val="006B7D96"/>
    <w:rsid w:val="006F7CB5"/>
    <w:rsid w:val="007032EE"/>
    <w:rsid w:val="00722180"/>
    <w:rsid w:val="00723B47"/>
    <w:rsid w:val="007640EB"/>
    <w:rsid w:val="00766E46"/>
    <w:rsid w:val="007674F1"/>
    <w:rsid w:val="00773133"/>
    <w:rsid w:val="00774DCC"/>
    <w:rsid w:val="007908DE"/>
    <w:rsid w:val="00791D46"/>
    <w:rsid w:val="007B47E7"/>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3EF"/>
    <w:rsid w:val="008F26DE"/>
    <w:rsid w:val="00904A7E"/>
    <w:rsid w:val="00925370"/>
    <w:rsid w:val="009254A9"/>
    <w:rsid w:val="00932DE0"/>
    <w:rsid w:val="00952326"/>
    <w:rsid w:val="00977E6E"/>
    <w:rsid w:val="00995F94"/>
    <w:rsid w:val="009A467C"/>
    <w:rsid w:val="009B1969"/>
    <w:rsid w:val="009B577B"/>
    <w:rsid w:val="009E07B2"/>
    <w:rsid w:val="00A01379"/>
    <w:rsid w:val="00A025F7"/>
    <w:rsid w:val="00A125E5"/>
    <w:rsid w:val="00A26CB9"/>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912C6"/>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B450D"/>
    <w:rsid w:val="00CC0B8E"/>
    <w:rsid w:val="00CD273D"/>
    <w:rsid w:val="00CD5BE1"/>
    <w:rsid w:val="00CF7261"/>
    <w:rsid w:val="00D1054B"/>
    <w:rsid w:val="00D178D7"/>
    <w:rsid w:val="00D2273B"/>
    <w:rsid w:val="00D53034"/>
    <w:rsid w:val="00D830FD"/>
    <w:rsid w:val="00D926BC"/>
    <w:rsid w:val="00DA5AAA"/>
    <w:rsid w:val="00DD45D2"/>
    <w:rsid w:val="00DF2FF3"/>
    <w:rsid w:val="00DF3189"/>
    <w:rsid w:val="00DF5AB1"/>
    <w:rsid w:val="00E37BC3"/>
    <w:rsid w:val="00E41925"/>
    <w:rsid w:val="00E53001"/>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02">
      <w:bodyDiv w:val="1"/>
      <w:marLeft w:val="0"/>
      <w:marRight w:val="0"/>
      <w:marTop w:val="0"/>
      <w:marBottom w:val="0"/>
      <w:divBdr>
        <w:top w:val="none" w:sz="0" w:space="0" w:color="auto"/>
        <w:left w:val="none" w:sz="0" w:space="0" w:color="auto"/>
        <w:bottom w:val="none" w:sz="0" w:space="0" w:color="auto"/>
        <w:right w:val="none" w:sz="0" w:space="0" w:color="auto"/>
      </w:divBdr>
      <w:divsChild>
        <w:div w:id="1800295924">
          <w:marLeft w:val="0"/>
          <w:marRight w:val="0"/>
          <w:marTop w:val="0"/>
          <w:marBottom w:val="0"/>
          <w:divBdr>
            <w:top w:val="none" w:sz="0" w:space="0" w:color="auto"/>
            <w:left w:val="none" w:sz="0" w:space="0" w:color="auto"/>
            <w:bottom w:val="none" w:sz="0" w:space="0" w:color="auto"/>
            <w:right w:val="none" w:sz="0" w:space="0" w:color="auto"/>
          </w:divBdr>
          <w:divsChild>
            <w:div w:id="1653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525">
      <w:bodyDiv w:val="1"/>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sChild>
            <w:div w:id="796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kkodis.com/de"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8062</Words>
  <Characters>50794</Characters>
  <Application>Microsoft Office Word</Application>
  <DocSecurity>0</DocSecurity>
  <Lines>423</Lines>
  <Paragraphs>117</Paragraphs>
  <ScaleCrop>false</ScaleCrop>
  <Company/>
  <LinksUpToDate>false</LinksUpToDate>
  <CharactersWithSpaces>58739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147</cp:revision>
  <cp:lastPrinted>2024-07-02T09:57:00Z</cp:lastPrinted>
  <dcterms:created xsi:type="dcterms:W3CDTF">2023-03-31T10:47:00Z</dcterms:created>
  <dcterms:modified xsi:type="dcterms:W3CDTF">2025-06-27T09:22:00Z</dcterms:modified>
</cp:coreProperties>
</file>