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7A3EEC66"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EA77E4">
        <w:rPr>
          <w:rFonts w:ascii="Arial" w:hAnsi="Arial" w:cs="Arial"/>
        </w:rPr>
        <w:t>15</w:t>
      </w:r>
      <w:r w:rsidR="004465C0">
        <w:rPr>
          <w:rFonts w:ascii="Arial" w:hAnsi="Arial" w:cs="Arial"/>
        </w:rPr>
        <w:t>.</w:t>
      </w:r>
      <w:r w:rsidRPr="00BA62F8">
        <w:rPr>
          <w:rFonts w:ascii="Arial" w:hAnsi="Arial" w:cs="Arial"/>
        </w:rPr>
        <w:t xml:space="preserve"> </w:t>
      </w:r>
      <w:r w:rsidR="00CB450D">
        <w:rPr>
          <w:rFonts w:ascii="Arial" w:hAnsi="Arial" w:cs="Arial"/>
        </w:rPr>
        <w:t>Ju</w:t>
      </w:r>
      <w:r w:rsidR="00EA77E4">
        <w:rPr>
          <w:rFonts w:ascii="Arial" w:hAnsi="Arial" w:cs="Arial"/>
        </w:rPr>
        <w:t>ly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4B0C0A7D"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B2C73">
              <w:rPr>
                <w:rFonts w:ascii="Arial" w:hAnsi="Arial" w:cs="Arial"/>
                <w:b/>
                <w:kern w:val="0"/>
              </w:rPr>
              <w:t>5</w:t>
            </w:r>
            <w:r w:rsidR="00256CCA">
              <w:rPr>
                <w:rFonts w:ascii="Arial" w:hAnsi="Arial" w:cs="Arial"/>
                <w:b/>
                <w:kern w:val="0"/>
              </w:rPr>
              <w:t>.</w:t>
            </w:r>
            <w:r w:rsidR="002B2C73">
              <w:rPr>
                <w:rFonts w:ascii="Arial" w:hAnsi="Arial" w:cs="Arial"/>
                <w:b/>
                <w:kern w:val="0"/>
              </w:rPr>
              <w:t>9</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BACFE95" w:rsidR="00633555" w:rsidRPr="00BA62F8" w:rsidRDefault="00B912C6">
            <w:pPr>
              <w:snapToGrid w:val="0"/>
              <w:spacing w:after="280"/>
              <w:rPr>
                <w:rFonts w:ascii="Arial" w:hAnsi="Arial" w:cs="Arial"/>
              </w:rPr>
            </w:pPr>
            <w:r>
              <w:rPr>
                <w:rFonts w:ascii="Arial" w:hAnsi="Arial" w:cs="Arial"/>
                <w:b/>
                <w:bCs/>
              </w:rPr>
              <w:t>x</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1A91163C"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71C5AA5C"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7B47E7">
        <w:rPr>
          <w:rFonts w:ascii="Arial" w:hAnsi="Arial" w:cs="Arial"/>
        </w:rPr>
        <w:t>Software</w:t>
      </w:r>
    </w:p>
    <w:p w14:paraId="4C6EA8DB" w14:textId="1552345B"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xml:space="preserve">. </w:t>
      </w:r>
      <w:r w:rsidR="00CB450D">
        <w:rPr>
          <w:rFonts w:ascii="Arial" w:hAnsi="Arial" w:cs="Arial"/>
          <w:lang w:val="de-DE"/>
        </w:rPr>
        <w:t>Akkodis</w:t>
      </w:r>
      <w:r w:rsidRPr="00256CCA">
        <w:rPr>
          <w:rFonts w:ascii="Arial" w:hAnsi="Arial" w:cs="Arial"/>
          <w:lang w:val="de-DE"/>
        </w:rPr>
        <w:t xml:space="preserve"> in </w:t>
      </w:r>
      <w:r w:rsidR="00CB450D">
        <w:rPr>
          <w:rFonts w:ascii="Arial" w:hAnsi="Arial" w:cs="Arial"/>
          <w:lang w:val="de-DE"/>
        </w:rPr>
        <w:t>Stuttgart</w:t>
      </w:r>
      <w:r w:rsidRPr="00256CCA">
        <w:rPr>
          <w:rFonts w:ascii="Arial" w:hAnsi="Arial" w:cs="Arial"/>
          <w:lang w:val="de-DE"/>
        </w:rPr>
        <w:t>/Remote</w:t>
      </w:r>
    </w:p>
    <w:p w14:paraId="2FC64330" w14:textId="3A3DC9D6" w:rsidR="007B47E7" w:rsidRPr="00A26CB9" w:rsidRDefault="003D2075" w:rsidP="00A26CB9">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7B47E7" w:rsidRPr="007B47E7">
        <w:rPr>
          <w:rFonts w:ascii="Arial" w:hAnsi="Arial" w:cs="Arial"/>
        </w:rPr>
        <w:t>Edgar</w:t>
      </w:r>
      <w:r w:rsidR="007B47E7">
        <w:rPr>
          <w:rFonts w:ascii="Arial" w:hAnsi="Arial" w:cs="Arial"/>
        </w:rPr>
        <w:t xml:space="preserve"> </w:t>
      </w:r>
      <w:r w:rsidR="007B47E7" w:rsidRPr="007B47E7">
        <w:rPr>
          <w:rFonts w:ascii="Arial" w:hAnsi="Arial" w:cs="Arial"/>
        </w:rPr>
        <w:t>Klein</w:t>
      </w:r>
      <w:r w:rsidR="00A26CB9">
        <w:rPr>
          <w:rFonts w:ascii="Arial" w:hAnsi="Arial" w:cs="Arial"/>
        </w:rPr>
        <w:t xml:space="preserve"> </w:t>
      </w:r>
      <w:r w:rsidR="00A26CB9">
        <w:rPr>
          <w:rFonts w:ascii="Arial" w:hAnsi="Arial" w:cs="Arial"/>
          <w:lang w:val="de-DE"/>
        </w:rPr>
        <w:t>Co</w:t>
      </w:r>
      <w:r w:rsidR="00A26CB9" w:rsidRPr="00A26CB9">
        <w:rPr>
          <w:rFonts w:ascii="Arial" w:hAnsi="Arial" w:cs="Arial"/>
          <w:lang w:val="de-DE"/>
        </w:rPr>
        <w:t>. Akkodis</w:t>
      </w:r>
    </w:p>
    <w:p w14:paraId="5B18329A" w14:textId="62B1DD65" w:rsidR="008A7EE7" w:rsidRDefault="007B47E7" w:rsidP="007B47E7">
      <w:pPr>
        <w:pStyle w:val="Normal1"/>
        <w:ind w:left="1418"/>
        <w:rPr>
          <w:rFonts w:ascii="Arial" w:hAnsi="Arial" w:cs="Arial"/>
          <w:bCs/>
          <w:lang w:val="de-DE"/>
        </w:rPr>
      </w:pPr>
      <w:hyperlink r:id="rId11" w:history="1">
        <w:r w:rsidRPr="00337556">
          <w:rPr>
            <w:rStyle w:val="Hyperlink"/>
            <w:rFonts w:ascii="Arial" w:hAnsi="Arial" w:cs="Arial"/>
            <w:bCs/>
          </w:rPr>
          <w:t>https://www.akkodis.com/de</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Satellite navigation</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r w:rsidR="005E336E">
              <w:rPr>
                <w:rFonts w:ascii="Arial" w:hAnsi="Arial" w:cs="Arial"/>
                <w:lang w:val="de-DE"/>
              </w:rPr>
              <w:t xml:space="preserve">, </w:t>
            </w:r>
            <w:r w:rsidR="005E336E" w:rsidRPr="005E336E">
              <w:rPr>
                <w:rFonts w:ascii="Arial" w:hAnsi="Arial" w:cs="Arial"/>
                <w:lang w:val="de-DE"/>
              </w:rPr>
              <w:t>Java 21 Streams API, Spring Data, freeIPA,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lastRenderedPageBreak/>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 xml:space="preserve">SOAP, Liquibase, VMware vSphere, Keycloak, IAM, JWT, OpenID Connect /OAuth2, Websockets, nrwl/nx, nx.dev, Cypress, TypeScript, JavaScript, </w:t>
            </w:r>
            <w:r w:rsidRPr="00BA62F8">
              <w:rPr>
                <w:rFonts w:ascii="Arial" w:hAnsi="Arial" w:cs="Arial"/>
              </w:rPr>
              <w:lastRenderedPageBreak/>
              <w:t>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w:t>
            </w:r>
            <w:r w:rsidR="00AF0266" w:rsidRPr="00BA62F8">
              <w:rPr>
                <w:rFonts w:ascii="Arial" w:hAnsi="Arial" w:cs="Arial"/>
                <w:lang w:val="en-GB"/>
              </w:rPr>
              <w:lastRenderedPageBreak/>
              <w:t>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A2969"/>
    <w:rsid w:val="001B31CB"/>
    <w:rsid w:val="00230500"/>
    <w:rsid w:val="0023168A"/>
    <w:rsid w:val="00236AED"/>
    <w:rsid w:val="0024100B"/>
    <w:rsid w:val="0025288D"/>
    <w:rsid w:val="00256CCA"/>
    <w:rsid w:val="00267F2D"/>
    <w:rsid w:val="002706CE"/>
    <w:rsid w:val="002843AF"/>
    <w:rsid w:val="002917FF"/>
    <w:rsid w:val="002B2C73"/>
    <w:rsid w:val="002C72CA"/>
    <w:rsid w:val="002E2941"/>
    <w:rsid w:val="002F724A"/>
    <w:rsid w:val="002F7259"/>
    <w:rsid w:val="00361C01"/>
    <w:rsid w:val="003C3E52"/>
    <w:rsid w:val="003D2075"/>
    <w:rsid w:val="00400B2C"/>
    <w:rsid w:val="00403978"/>
    <w:rsid w:val="00407837"/>
    <w:rsid w:val="004147D5"/>
    <w:rsid w:val="004237B0"/>
    <w:rsid w:val="004465C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0381"/>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A64F2"/>
    <w:rsid w:val="006B7D96"/>
    <w:rsid w:val="006F7CB5"/>
    <w:rsid w:val="007032EE"/>
    <w:rsid w:val="00722180"/>
    <w:rsid w:val="00723B47"/>
    <w:rsid w:val="007640EB"/>
    <w:rsid w:val="00766E46"/>
    <w:rsid w:val="007674F1"/>
    <w:rsid w:val="00773133"/>
    <w:rsid w:val="00774DCC"/>
    <w:rsid w:val="007908DE"/>
    <w:rsid w:val="00791D46"/>
    <w:rsid w:val="007B47E7"/>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3EF"/>
    <w:rsid w:val="008F26DE"/>
    <w:rsid w:val="00904A7E"/>
    <w:rsid w:val="00925370"/>
    <w:rsid w:val="009254A9"/>
    <w:rsid w:val="00932DE0"/>
    <w:rsid w:val="00952326"/>
    <w:rsid w:val="00977E6E"/>
    <w:rsid w:val="00995F94"/>
    <w:rsid w:val="009A467C"/>
    <w:rsid w:val="009B1969"/>
    <w:rsid w:val="009B577B"/>
    <w:rsid w:val="009E07B2"/>
    <w:rsid w:val="00A01379"/>
    <w:rsid w:val="00A025F7"/>
    <w:rsid w:val="00A125E5"/>
    <w:rsid w:val="00A26CB9"/>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912C6"/>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B450D"/>
    <w:rsid w:val="00CC0B8E"/>
    <w:rsid w:val="00CD273D"/>
    <w:rsid w:val="00CD5BE1"/>
    <w:rsid w:val="00CF7261"/>
    <w:rsid w:val="00D1054B"/>
    <w:rsid w:val="00D15B8B"/>
    <w:rsid w:val="00D178D7"/>
    <w:rsid w:val="00D2273B"/>
    <w:rsid w:val="00D53034"/>
    <w:rsid w:val="00D830FD"/>
    <w:rsid w:val="00D926BC"/>
    <w:rsid w:val="00DA5AAA"/>
    <w:rsid w:val="00DD45D2"/>
    <w:rsid w:val="00DF2FF3"/>
    <w:rsid w:val="00DF3189"/>
    <w:rsid w:val="00DF5AB1"/>
    <w:rsid w:val="00E37BC3"/>
    <w:rsid w:val="00E41925"/>
    <w:rsid w:val="00E53001"/>
    <w:rsid w:val="00E610EF"/>
    <w:rsid w:val="00E754D5"/>
    <w:rsid w:val="00EA4AD6"/>
    <w:rsid w:val="00EA77E4"/>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02">
      <w:bodyDiv w:val="1"/>
      <w:marLeft w:val="0"/>
      <w:marRight w:val="0"/>
      <w:marTop w:val="0"/>
      <w:marBottom w:val="0"/>
      <w:divBdr>
        <w:top w:val="none" w:sz="0" w:space="0" w:color="auto"/>
        <w:left w:val="none" w:sz="0" w:space="0" w:color="auto"/>
        <w:bottom w:val="none" w:sz="0" w:space="0" w:color="auto"/>
        <w:right w:val="none" w:sz="0" w:space="0" w:color="auto"/>
      </w:divBdr>
      <w:divsChild>
        <w:div w:id="1800295924">
          <w:marLeft w:val="0"/>
          <w:marRight w:val="0"/>
          <w:marTop w:val="0"/>
          <w:marBottom w:val="0"/>
          <w:divBdr>
            <w:top w:val="none" w:sz="0" w:space="0" w:color="auto"/>
            <w:left w:val="none" w:sz="0" w:space="0" w:color="auto"/>
            <w:bottom w:val="none" w:sz="0" w:space="0" w:color="auto"/>
            <w:right w:val="none" w:sz="0" w:space="0" w:color="auto"/>
          </w:divBdr>
          <w:divsChild>
            <w:div w:id="1653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525">
      <w:bodyDiv w:val="1"/>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sChild>
            <w:div w:id="796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kkodis.com/de"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8062</Words>
  <Characters>50794</Characters>
  <Application>Microsoft Office Word</Application>
  <DocSecurity>0</DocSecurity>
  <Lines>423</Lines>
  <Paragraphs>117</Paragraphs>
  <ScaleCrop>false</ScaleCrop>
  <Company/>
  <LinksUpToDate>false</LinksUpToDate>
  <CharactersWithSpaces>58739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148</cp:revision>
  <cp:lastPrinted>2024-07-02T09:57:00Z</cp:lastPrinted>
  <dcterms:created xsi:type="dcterms:W3CDTF">2023-03-31T10:47:00Z</dcterms:created>
  <dcterms:modified xsi:type="dcterms:W3CDTF">2025-07-15T12:10:00Z</dcterms:modified>
</cp:coreProperties>
</file>