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0FEBC0B9"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662224">
        <w:rPr>
          <w:rFonts w:ascii="Arial" w:hAnsi="Arial" w:cs="Arial"/>
        </w:rPr>
        <w:t>31</w:t>
      </w:r>
      <w:r w:rsidRPr="00BA62F8">
        <w:rPr>
          <w:rFonts w:ascii="Arial" w:hAnsi="Arial" w:cs="Arial"/>
        </w:rPr>
        <w:t xml:space="preserve">. </w:t>
      </w:r>
      <w:r w:rsidR="0000493A">
        <w:rPr>
          <w:rFonts w:ascii="Arial" w:hAnsi="Arial" w:cs="Arial"/>
        </w:rPr>
        <w:t>Januar</w:t>
      </w:r>
      <w:r w:rsidR="00F00100">
        <w:rPr>
          <w:rFonts w:ascii="Arial" w:hAnsi="Arial" w:cs="Arial"/>
        </w:rPr>
        <w:t>y</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1AF569FB" w:rsidR="00633555" w:rsidRPr="00CA2EDE" w:rsidRDefault="00AF0266">
            <w:pPr>
              <w:spacing w:after="278"/>
              <w:rPr>
                <w:rFonts w:ascii="Arial" w:hAnsi="Arial" w:cs="Arial"/>
                <w:b/>
                <w:kern w:val="0"/>
              </w:rPr>
            </w:pPr>
            <w:r w:rsidRPr="00BA62F8">
              <w:rPr>
                <w:rFonts w:ascii="Arial" w:hAnsi="Arial" w:cs="Arial"/>
              </w:rPr>
              <w:t xml:space="preserve">From </w:t>
            </w:r>
            <w:r w:rsidR="00DF3189">
              <w:rPr>
                <w:rFonts w:ascii="Arial" w:hAnsi="Arial" w:cs="Arial"/>
                <w:b/>
                <w:kern w:val="0"/>
              </w:rPr>
              <w:t>3</w:t>
            </w:r>
            <w:r w:rsidR="00256CCA">
              <w:rPr>
                <w:rFonts w:ascii="Arial" w:hAnsi="Arial" w:cs="Arial"/>
                <w:b/>
                <w:kern w:val="0"/>
              </w:rPr>
              <w:t>.</w:t>
            </w:r>
            <w:r w:rsidR="00DF3189">
              <w:rPr>
                <w:rFonts w:ascii="Arial" w:hAnsi="Arial" w:cs="Arial"/>
                <w:b/>
                <w:kern w:val="0"/>
              </w:rPr>
              <w:t>2</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proofErr w:type="gramStart"/>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Public</w:t>
      </w:r>
      <w:proofErr w:type="gramEnd"/>
      <w:r w:rsidRPr="00BA62F8">
        <w:rPr>
          <w:rFonts w:ascii="Arial" w:hAnsi="Arial" w:cs="Arial"/>
        </w:rPr>
        <w:t xml:space="preserve">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5837D20F" w:rsidR="00633555" w:rsidRPr="00BA62F8" w:rsidRDefault="00A608DE">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113268B2" w:rsidR="00633555" w:rsidRPr="00BA62F8" w:rsidRDefault="00AF0266">
            <w:pPr>
              <w:snapToGrid w:val="0"/>
              <w:rPr>
                <w:rFonts w:ascii="Arial" w:hAnsi="Arial" w:cs="Arial"/>
              </w:rPr>
            </w:pPr>
            <w:r w:rsidRPr="00BA62F8">
              <w:rPr>
                <w:rFonts w:ascii="Arial" w:hAnsi="Arial" w:cs="Arial"/>
              </w:rPr>
              <w:t xml:space="preserve"> </w:t>
            </w:r>
            <w:r w:rsidR="00A608DE">
              <w:rPr>
                <w:rFonts w:ascii="Arial" w:hAnsi="Arial" w:cs="Arial"/>
              </w:rPr>
              <w:t>x</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 xml:space="preserve">a </w:t>
      </w:r>
      <w:proofErr w:type="gramStart"/>
      <w:r>
        <w:rPr>
          <w:rFonts w:ascii="Arial" w:hAnsi="Arial" w:cs="Arial"/>
          <w:kern w:val="0"/>
          <w:lang w:eastAsia="de-DE"/>
        </w:rPr>
        <w:t>migration</w:t>
      </w:r>
      <w:proofErr w:type="gramEnd"/>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Bank</w:t>
      </w:r>
      <w:proofErr w:type="gramEnd"/>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Public</w:t>
      </w:r>
      <w:proofErr w:type="gramEnd"/>
      <w:r w:rsidRPr="00BA62F8">
        <w:rPr>
          <w:rFonts w:ascii="Arial" w:hAnsi="Arial" w:cs="Arial"/>
        </w:rPr>
        <w:t xml:space="preserve">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BSI </w:t>
      </w:r>
      <w:proofErr w:type="gramStart"/>
      <w:r w:rsidRPr="00BA62F8">
        <w:rPr>
          <w:rFonts w:ascii="Arial" w:hAnsi="Arial" w:cs="Arial"/>
        </w:rPr>
        <w:t>Security-Requirements</w:t>
      </w:r>
      <w:proofErr w:type="gramEnd"/>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Communication with Senior Full </w:t>
      </w:r>
      <w:proofErr w:type="gramStart"/>
      <w:r w:rsidRPr="00BA62F8">
        <w:rPr>
          <w:rFonts w:ascii="Arial" w:hAnsi="Arial" w:cs="Arial"/>
        </w:rPr>
        <w:t>stack</w:t>
      </w:r>
      <w:proofErr w:type="gramEnd"/>
      <w:r w:rsidRPr="00BA62F8">
        <w:rPr>
          <w:rFonts w:ascii="Arial" w:hAnsi="Arial" w:cs="Arial"/>
        </w:rPr>
        <w:t xml:space="preserve">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Finance</w:t>
      </w:r>
      <w:proofErr w:type="gramEnd"/>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lastRenderedPageBreak/>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All </w:t>
      </w:r>
      <w:proofErr w:type="gramStart"/>
      <w:r w:rsidRPr="00BA62F8">
        <w:rPr>
          <w:rFonts w:ascii="Arial" w:hAnsi="Arial" w:cs="Arial"/>
        </w:rPr>
        <w:t>kind</w:t>
      </w:r>
      <w:proofErr w:type="gramEnd"/>
      <w:r w:rsidRPr="00BA62F8">
        <w:rPr>
          <w:rFonts w:ascii="Arial" w:hAnsi="Arial" w:cs="Arial"/>
        </w:rPr>
        <w:t xml:space="preserve">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Telecommunication</w:t>
      </w:r>
      <w:proofErr w:type="gramEnd"/>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Authentification </w:t>
      </w:r>
      <w:proofErr w:type="gramStart"/>
      <w:r w:rsidRPr="00BA62F8">
        <w:rPr>
          <w:rFonts w:ascii="Arial" w:hAnsi="Arial" w:cs="Arial"/>
        </w:rPr>
        <w:t>over</w:t>
      </w:r>
      <w:proofErr w:type="gramEnd"/>
      <w:r w:rsidRPr="00BA62F8">
        <w:rPr>
          <w:rFonts w:ascii="Arial" w:hAnsi="Arial" w:cs="Arial"/>
        </w:rPr>
        <w:t xml:space="preserve">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Branche</w:t>
      </w:r>
      <w:proofErr w:type="gramStart"/>
      <w:r w:rsidRPr="00BA62F8">
        <w:rPr>
          <w:rFonts w:ascii="Arial" w:hAnsi="Arial" w:cs="Arial"/>
        </w:rPr>
        <w:t xml:space="preserve">: </w:t>
      </w:r>
      <w:r w:rsidRPr="00BA62F8">
        <w:rPr>
          <w:rFonts w:ascii="Arial" w:hAnsi="Arial" w:cs="Arial"/>
        </w:rPr>
        <w:tab/>
        <w:t>Security</w:t>
      </w:r>
      <w:proofErr w:type="gramEnd"/>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gramStart"/>
      <w:r w:rsidRPr="00BA62F8">
        <w:rPr>
          <w:rFonts w:ascii="Arial" w:hAnsi="Arial" w:cs="Arial"/>
        </w:rPr>
        <w:t>analyse</w:t>
      </w:r>
      <w:proofErr w:type="gram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gramStart"/>
            <w:r w:rsidRPr="00BA62F8">
              <w:rPr>
                <w:rFonts w:ascii="Arial" w:hAnsi="Arial" w:cs="Arial"/>
                <w:color w:val="000000"/>
              </w:rPr>
              <w:t>Operatingsystems</w:t>
            </w:r>
            <w:proofErr w:type="gram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gramStart"/>
      <w:r w:rsidRPr="00BA62F8">
        <w:rPr>
          <w:rFonts w:ascii="Arial" w:hAnsi="Arial" w:cs="Arial"/>
        </w:rPr>
        <w:t>Finanzportal</w:t>
      </w:r>
      <w:proofErr w:type="gram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proofErr w:type="gramStart"/>
      <w:r w:rsidRPr="00BA62F8">
        <w:rPr>
          <w:sz w:val="28"/>
          <w:szCs w:val="28"/>
        </w:rPr>
        <w:t>Logistic</w:t>
      </w:r>
      <w:proofErr w:type="gramEnd"/>
      <w:r w:rsidRPr="00BA62F8">
        <w:rPr>
          <w:sz w:val="28"/>
          <w:szCs w:val="28"/>
        </w:rPr>
        <w:t xml:space="preserve">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lastRenderedPageBreak/>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lastRenderedPageBreak/>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proofErr w:type="gramStart"/>
      <w:r w:rsidRPr="00BA62F8">
        <w:rPr>
          <w:rFonts w:ascii="Arial" w:hAnsi="Arial" w:cs="Arial"/>
        </w:rPr>
        <w:t>Load-tests</w:t>
      </w:r>
      <w:proofErr w:type="gramEnd"/>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lastRenderedPageBreak/>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gramStart"/>
      <w:r w:rsidRPr="00BA62F8">
        <w:rPr>
          <w:rFonts w:ascii="Arial" w:hAnsi="Arial" w:cs="Arial"/>
        </w:rPr>
        <w:t>integrationtests</w:t>
      </w:r>
      <w:proofErr w:type="gram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 xml:space="preserve">Online portal for </w:t>
      </w:r>
      <w:proofErr w:type="gramStart"/>
      <w:r w:rsidRPr="00BA62F8">
        <w:rPr>
          <w:sz w:val="28"/>
          <w:szCs w:val="28"/>
        </w:rPr>
        <w:t>ambulant</w:t>
      </w:r>
      <w:proofErr w:type="gramEnd"/>
      <w:r w:rsidRPr="00BA62F8">
        <w:rPr>
          <w:sz w:val="28"/>
          <w:szCs w:val="28"/>
        </w:rPr>
        <w: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.json</w:t>
      </w:r>
      <w:proofErr w:type="gramEnd"/>
      <w:r w:rsidRPr="00BA62F8">
        <w:rPr>
          <w:rFonts w:ascii="Arial" w:hAnsi="Arial" w:cs="Arial"/>
        </w:rPr>
        <w:t xml:space="preserve">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Documentation of medical reports </w:t>
      </w:r>
      <w:proofErr w:type="gramStart"/>
      <w:r w:rsidRPr="00BA62F8">
        <w:rPr>
          <w:rFonts w:ascii="Arial" w:hAnsi="Arial" w:cs="Arial"/>
        </w:rPr>
        <w:t>in</w:t>
      </w:r>
      <w:proofErr w:type="gramEnd"/>
      <w:r w:rsidRPr="00BA62F8">
        <w:rPr>
          <w:rFonts w:ascii="Arial" w:hAnsi="Arial" w:cs="Arial"/>
        </w:rPr>
        <w:t xml:space="preserve">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Support of the following medical </w:t>
      </w:r>
      <w:proofErr w:type="gramStart"/>
      <w:r w:rsidRPr="00BA62F8">
        <w:rPr>
          <w:rFonts w:ascii="Arial" w:hAnsi="Arial" w:cs="Arial"/>
        </w:rPr>
        <w:t>documentations</w:t>
      </w:r>
      <w:proofErr w:type="gramEnd"/>
      <w:r w:rsidRPr="00BA62F8">
        <w:rPr>
          <w:rFonts w:ascii="Arial" w:hAnsi="Arial" w:cs="Arial"/>
        </w:rPr>
        <w:t>:</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lastRenderedPageBreak/>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w:t>
      </w:r>
      <w:proofErr w:type="gramStart"/>
      <w:r w:rsidRPr="00BA62F8">
        <w:rPr>
          <w:rFonts w:ascii="Arial" w:hAnsi="Arial" w:cs="Arial"/>
        </w:rPr>
        <w:t>sorting of</w:t>
      </w:r>
      <w:proofErr w:type="gramEnd"/>
      <w:r w:rsidRPr="00BA62F8">
        <w:rPr>
          <w:rFonts w:ascii="Arial" w:hAnsi="Arial" w:cs="Arial"/>
        </w:rPr>
        <w:t xml:space="preserve">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proofErr w:type="gramStart"/>
      <w:r w:rsidRPr="00BA62F8">
        <w:rPr>
          <w:rFonts w:ascii="Arial" w:hAnsi="Arial" w:cs="Arial"/>
        </w:rPr>
        <w:t>Geolocating of</w:t>
      </w:r>
      <w:proofErr w:type="gramEnd"/>
      <w:r w:rsidRPr="00BA62F8">
        <w:rPr>
          <w:rFonts w:ascii="Arial" w:hAnsi="Arial" w:cs="Arial"/>
        </w:rPr>
        <w:t xml:space="preserve">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w:t>
            </w:r>
            <w:r w:rsidRPr="00BA62F8">
              <w:rPr>
                <w:rFonts w:ascii="Arial" w:hAnsi="Arial" w:cs="Arial"/>
                <w:color w:val="000000"/>
              </w:rPr>
              <w:lastRenderedPageBreak/>
              <w:t>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Extensions </w:t>
      </w:r>
      <w:proofErr w:type="gramStart"/>
      <w:r w:rsidRPr="00BA62F8">
        <w:rPr>
          <w:rFonts w:ascii="Arial" w:hAnsi="Arial" w:cs="Arial"/>
        </w:rPr>
        <w:t>on</w:t>
      </w:r>
      <w:proofErr w:type="gramEnd"/>
      <w:r w:rsidRPr="00BA62F8">
        <w:rPr>
          <w:rFonts w:ascii="Arial" w:hAnsi="Arial" w:cs="Arial"/>
        </w:rPr>
        <w:t xml:space="preserve">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XSL transformation in several steps </w:t>
      </w:r>
      <w:proofErr w:type="gramStart"/>
      <w:r w:rsidRPr="00BA62F8">
        <w:rPr>
          <w:rFonts w:ascii="Arial" w:hAnsi="Arial" w:cs="Arial"/>
        </w:rPr>
        <w:t>up till</w:t>
      </w:r>
      <w:proofErr w:type="gramEnd"/>
      <w:r w:rsidRPr="00BA62F8">
        <w:rPr>
          <w:rFonts w:ascii="Arial" w:hAnsi="Arial" w:cs="Arial"/>
        </w:rPr>
        <w:t xml:space="preserve">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gramStart"/>
      <w:r w:rsidRPr="00BA62F8">
        <w:rPr>
          <w:rFonts w:ascii="Arial" w:hAnsi="Arial" w:cs="Arial"/>
        </w:rPr>
        <w:t>webapplication</w:t>
      </w:r>
      <w:proofErr w:type="gram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gramStart"/>
      <w:r w:rsidRPr="00BA62F8">
        <w:rPr>
          <w:rFonts w:ascii="Arial" w:hAnsi="Arial" w:cs="Arial"/>
        </w:rPr>
        <w:t>statemachine</w:t>
      </w:r>
      <w:proofErr w:type="gramEnd"/>
    </w:p>
    <w:p w14:paraId="25747106" w14:textId="77777777" w:rsidR="00633555" w:rsidRPr="00BA62F8" w:rsidRDefault="00AF0266">
      <w:pPr>
        <w:numPr>
          <w:ilvl w:val="0"/>
          <w:numId w:val="2"/>
        </w:numPr>
        <w:rPr>
          <w:rFonts w:ascii="Arial" w:hAnsi="Arial" w:cs="Arial"/>
        </w:rPr>
      </w:pPr>
      <w:r w:rsidRPr="00BA62F8">
        <w:rPr>
          <w:rFonts w:ascii="Arial" w:hAnsi="Arial" w:cs="Arial"/>
        </w:rPr>
        <w:lastRenderedPageBreak/>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w:t>
      </w:r>
      <w:proofErr w:type="gramStart"/>
      <w:r w:rsidRPr="00BA62F8">
        <w:rPr>
          <w:rFonts w:ascii="Arial" w:hAnsi="Arial" w:cs="Arial"/>
        </w:rPr>
        <w:t>a Soap</w:t>
      </w:r>
      <w:proofErr w:type="gramEnd"/>
      <w:r w:rsidRPr="00BA62F8">
        <w:rPr>
          <w:rFonts w:ascii="Arial" w:hAnsi="Arial" w:cs="Arial"/>
        </w:rPr>
        <w:t xml:space="preserve">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proofErr w:type="gramStart"/>
      <w:r w:rsidRPr="00BA62F8">
        <w:rPr>
          <w:rFonts w:ascii="Arial" w:hAnsi="Arial" w:cs="Arial"/>
        </w:rPr>
        <w:t>Rule based</w:t>
      </w:r>
      <w:proofErr w:type="gramEnd"/>
      <w:r w:rsidRPr="00BA62F8">
        <w:rPr>
          <w:rFonts w:ascii="Arial" w:hAnsi="Arial" w:cs="Arial"/>
        </w:rPr>
        <w:t xml:space="preserve">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lastRenderedPageBreak/>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begining to </w:t>
      </w:r>
      <w:proofErr w:type="gramStart"/>
      <w:r w:rsidRPr="00BA62F8">
        <w:rPr>
          <w:rFonts w:ascii="Arial" w:hAnsi="Arial" w:cs="Arial"/>
        </w:rPr>
        <w:t>the end</w:t>
      </w:r>
      <w:proofErr w:type="gramEnd"/>
      <w:r w:rsidRPr="00BA62F8">
        <w:rPr>
          <w:rFonts w:ascii="Arial" w:hAnsi="Arial" w:cs="Arial"/>
        </w:rPr>
        <w:t xml:space="preserve">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gramStart"/>
      <w:r w:rsidRPr="00BA62F8">
        <w:rPr>
          <w:rFonts w:ascii="Arial" w:hAnsi="Arial" w:cs="Arial"/>
        </w:rPr>
        <w:t>Webapplication</w:t>
      </w:r>
      <w:proofErr w:type="gram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asynch. communication </w:t>
      </w:r>
      <w:proofErr w:type="gramStart"/>
      <w:r w:rsidRPr="00BA62F8">
        <w:rPr>
          <w:rFonts w:ascii="Arial" w:hAnsi="Arial" w:cs="Arial"/>
        </w:rPr>
        <w:t>on</w:t>
      </w:r>
      <w:proofErr w:type="gramEnd"/>
      <w:r w:rsidRPr="00BA62F8">
        <w:rPr>
          <w:rFonts w:ascii="Arial" w:hAnsi="Arial" w:cs="Arial"/>
        </w:rPr>
        <w:t xml:space="preserve">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lastRenderedPageBreak/>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proofErr w:type="gramStart"/>
      <w:r w:rsidRPr="00BA62F8">
        <w:rPr>
          <w:sz w:val="28"/>
          <w:szCs w:val="28"/>
        </w:rPr>
        <w:t>Trainings</w:t>
      </w:r>
      <w:proofErr w:type="gramEnd"/>
      <w:r w:rsidRPr="00BA62F8">
        <w:rPr>
          <w:sz w:val="28"/>
          <w:szCs w:val="28"/>
        </w:rPr>
        <w:t xml:space="preserve">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gramStart"/>
      <w:r w:rsidRPr="00BA62F8">
        <w:rPr>
          <w:rFonts w:ascii="Arial" w:hAnsi="Arial" w:cs="Arial"/>
        </w:rPr>
        <w:t>Webapplications</w:t>
      </w:r>
      <w:proofErr w:type="gram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proofErr w:type="gramStart"/>
      <w:r w:rsidRPr="00BA62F8">
        <w:rPr>
          <w:rFonts w:ascii="Arial" w:hAnsi="Arial" w:cs="Arial"/>
        </w:rPr>
        <w:t>Webservices</w:t>
      </w:r>
      <w:proofErr w:type="gramEnd"/>
      <w:r w:rsidRPr="00BA62F8">
        <w:rPr>
          <w:rFonts w:ascii="Arial" w:hAnsi="Arial" w:cs="Arial"/>
        </w:rPr>
        <w:t xml:space="preserve">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Controll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r w:rsidRPr="00BA62F8">
        <w:rPr>
          <w:rFonts w:ascii="Arial" w:hAnsi="Arial" w:cs="Arial"/>
        </w:rPr>
        <w:lastRenderedPageBreak/>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gramStart"/>
      <w:r w:rsidRPr="00BA62F8">
        <w:rPr>
          <w:rFonts w:ascii="Arial" w:hAnsi="Arial" w:cs="Arial"/>
        </w:rPr>
        <w:t>Webapplications</w:t>
      </w:r>
      <w:proofErr w:type="gram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gramStart"/>
      <w:r w:rsidRPr="00BA62F8">
        <w:rPr>
          <w:rFonts w:ascii="Arial" w:hAnsi="Arial" w:cs="Arial"/>
        </w:rPr>
        <w:t>presentationtools</w:t>
      </w:r>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gramStart"/>
      <w:r w:rsidRPr="00BA62F8">
        <w:rPr>
          <w:sz w:val="28"/>
          <w:szCs w:val="28"/>
        </w:rPr>
        <w:t>billingsystem</w:t>
      </w:r>
      <w:proofErr w:type="gram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lastRenderedPageBreak/>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lastRenderedPageBreak/>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 xml:space="preserve">Connecting of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lastRenderedPageBreak/>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19A25" w14:textId="77777777" w:rsidR="002F724A" w:rsidRDefault="002F724A">
      <w:r>
        <w:separator/>
      </w:r>
    </w:p>
  </w:endnote>
  <w:endnote w:type="continuationSeparator" w:id="0">
    <w:p w14:paraId="51ED90E5" w14:textId="77777777" w:rsidR="002F724A" w:rsidRDefault="002F7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F4FC5" w14:textId="77777777" w:rsidR="002F724A" w:rsidRDefault="002F724A">
      <w:r>
        <w:rPr>
          <w:color w:val="000000"/>
        </w:rPr>
        <w:separator/>
      </w:r>
    </w:p>
  </w:footnote>
  <w:footnote w:type="continuationSeparator" w:id="0">
    <w:p w14:paraId="0311C70A" w14:textId="77777777" w:rsidR="002F724A" w:rsidRDefault="002F7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1340F"/>
    <w:rsid w:val="0003142D"/>
    <w:rsid w:val="00037356"/>
    <w:rsid w:val="000379C9"/>
    <w:rsid w:val="000440ED"/>
    <w:rsid w:val="000575F1"/>
    <w:rsid w:val="0009692D"/>
    <w:rsid w:val="000B60AB"/>
    <w:rsid w:val="000C30A8"/>
    <w:rsid w:val="000E6230"/>
    <w:rsid w:val="000F2702"/>
    <w:rsid w:val="000F7F5E"/>
    <w:rsid w:val="00103636"/>
    <w:rsid w:val="00134092"/>
    <w:rsid w:val="001723E3"/>
    <w:rsid w:val="001765A4"/>
    <w:rsid w:val="001B31CB"/>
    <w:rsid w:val="00230500"/>
    <w:rsid w:val="00236AED"/>
    <w:rsid w:val="0024100B"/>
    <w:rsid w:val="00256CCA"/>
    <w:rsid w:val="002843AF"/>
    <w:rsid w:val="002917FF"/>
    <w:rsid w:val="002F724A"/>
    <w:rsid w:val="00361C01"/>
    <w:rsid w:val="00400B2C"/>
    <w:rsid w:val="004147D5"/>
    <w:rsid w:val="004237B0"/>
    <w:rsid w:val="004724B2"/>
    <w:rsid w:val="00484C36"/>
    <w:rsid w:val="00485215"/>
    <w:rsid w:val="004A44A5"/>
    <w:rsid w:val="004E7FFA"/>
    <w:rsid w:val="00507A5B"/>
    <w:rsid w:val="00521BE5"/>
    <w:rsid w:val="005369A3"/>
    <w:rsid w:val="0054404B"/>
    <w:rsid w:val="00585F89"/>
    <w:rsid w:val="005A17B7"/>
    <w:rsid w:val="005A653E"/>
    <w:rsid w:val="005A78DE"/>
    <w:rsid w:val="005B15A2"/>
    <w:rsid w:val="005E7D41"/>
    <w:rsid w:val="00607EFC"/>
    <w:rsid w:val="0061430F"/>
    <w:rsid w:val="00626777"/>
    <w:rsid w:val="00633555"/>
    <w:rsid w:val="00662224"/>
    <w:rsid w:val="00675A33"/>
    <w:rsid w:val="00687B41"/>
    <w:rsid w:val="006A43D4"/>
    <w:rsid w:val="006F7CB5"/>
    <w:rsid w:val="007032EE"/>
    <w:rsid w:val="00722180"/>
    <w:rsid w:val="00723B47"/>
    <w:rsid w:val="007640EB"/>
    <w:rsid w:val="007674F1"/>
    <w:rsid w:val="00774DCC"/>
    <w:rsid w:val="00791D46"/>
    <w:rsid w:val="007C665F"/>
    <w:rsid w:val="00803433"/>
    <w:rsid w:val="008270C1"/>
    <w:rsid w:val="00836B96"/>
    <w:rsid w:val="00837B87"/>
    <w:rsid w:val="00841030"/>
    <w:rsid w:val="0084421D"/>
    <w:rsid w:val="00872B16"/>
    <w:rsid w:val="008769F3"/>
    <w:rsid w:val="0088623F"/>
    <w:rsid w:val="008F26DE"/>
    <w:rsid w:val="00925370"/>
    <w:rsid w:val="009254A9"/>
    <w:rsid w:val="00932DE0"/>
    <w:rsid w:val="00952326"/>
    <w:rsid w:val="009A467C"/>
    <w:rsid w:val="009B1969"/>
    <w:rsid w:val="009E07B2"/>
    <w:rsid w:val="00A01379"/>
    <w:rsid w:val="00A025F7"/>
    <w:rsid w:val="00A125E5"/>
    <w:rsid w:val="00A50DD6"/>
    <w:rsid w:val="00A608DE"/>
    <w:rsid w:val="00A62184"/>
    <w:rsid w:val="00A74E90"/>
    <w:rsid w:val="00A82957"/>
    <w:rsid w:val="00AB4284"/>
    <w:rsid w:val="00AE781E"/>
    <w:rsid w:val="00AF0266"/>
    <w:rsid w:val="00B22742"/>
    <w:rsid w:val="00B34581"/>
    <w:rsid w:val="00BA5D95"/>
    <w:rsid w:val="00BA62F8"/>
    <w:rsid w:val="00BA68E4"/>
    <w:rsid w:val="00BB7E8F"/>
    <w:rsid w:val="00BC123B"/>
    <w:rsid w:val="00BE1188"/>
    <w:rsid w:val="00BE4DA3"/>
    <w:rsid w:val="00C42B92"/>
    <w:rsid w:val="00C53A67"/>
    <w:rsid w:val="00C57AD5"/>
    <w:rsid w:val="00C633D8"/>
    <w:rsid w:val="00CA2EDE"/>
    <w:rsid w:val="00CD273D"/>
    <w:rsid w:val="00CD5BE1"/>
    <w:rsid w:val="00D1054B"/>
    <w:rsid w:val="00D178D7"/>
    <w:rsid w:val="00D2273B"/>
    <w:rsid w:val="00D53034"/>
    <w:rsid w:val="00D926BC"/>
    <w:rsid w:val="00DA5AAA"/>
    <w:rsid w:val="00DD45D2"/>
    <w:rsid w:val="00DF2FF3"/>
    <w:rsid w:val="00DF3189"/>
    <w:rsid w:val="00DF5AB1"/>
    <w:rsid w:val="00E37BC3"/>
    <w:rsid w:val="00E41925"/>
    <w:rsid w:val="00E610EF"/>
    <w:rsid w:val="00E754D5"/>
    <w:rsid w:val="00EE07E1"/>
    <w:rsid w:val="00EF358D"/>
    <w:rsid w:val="00F00100"/>
    <w:rsid w:val="00F10AA3"/>
    <w:rsid w:val="00F11F65"/>
    <w:rsid w:val="00F168FD"/>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7465</Words>
  <Characters>47036</Characters>
  <Application>Microsoft Office Word</Application>
  <DocSecurity>0</DocSecurity>
  <Lines>391</Lines>
  <Paragraphs>108</Paragraphs>
  <ScaleCrop>false</ScaleCrop>
  <Company/>
  <LinksUpToDate>false</LinksUpToDate>
  <CharactersWithSpaces>54393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95</cp:revision>
  <cp:lastPrinted>2024-07-02T09:57:00Z</cp:lastPrinted>
  <dcterms:created xsi:type="dcterms:W3CDTF">2023-03-31T10:47:00Z</dcterms:created>
  <dcterms:modified xsi:type="dcterms:W3CDTF">2025-01-31T15:04:00Z</dcterms:modified>
</cp:coreProperties>
</file>