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Ariketa_3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 número para verificar si es primo:"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esPrimo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esNumeroPrimo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esPrimo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es un número primo."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no es un número primo."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aff9"/>
          <w:sz w:val="20"/>
          <w:szCs w:val="20"/>
          <w:u w:val="single"/>
          <w:rtl w:val="0"/>
        </w:rPr>
        <w:t xml:space="preserve">esNumeroPrimo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Comprobamos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divisible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desde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hasta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raíz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cuadrada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divisible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algún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no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primo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no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divisible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ningún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primo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