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 xml:space="preserve">Seminario de Investigacion de 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Operaciones 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19</w:t>
      </w:r>
      <w:r>
        <w:rPr>
          <w:sz w:val="24"/>
          <w:u w:val="single"/>
        </w:rPr>
        <w:t>/0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rFonts w:ascii="Poppins;Helvetica;sans-serif" w:hAnsi="Poppins;Helvetica;sans-serif"/>
          <w:b w:val="false"/>
          <w:i w:val="false"/>
          <w:caps w:val="false"/>
          <w:smallCaps w:val="false"/>
          <w:color w:val="3F4254"/>
          <w:spacing w:val="0"/>
          <w:sz w:val="21"/>
          <w:u w:val="single"/>
        </w:rPr>
      </w:pPr>
      <w:r>
        <w:rPr>
          <w:rFonts w:ascii="Poppins;Helvetica;sans-serif" w:hAnsi="Poppins;Helvetica;sans-serif"/>
          <w:b w:val="false"/>
          <w:i w:val="false"/>
          <w:caps w:val="false"/>
          <w:smallCaps w:val="false"/>
          <w:color w:val="3F4254"/>
          <w:spacing w:val="0"/>
          <w:sz w:val="21"/>
          <w:u w:val="single"/>
        </w:rPr>
        <w:t>Investigue brevemente de que se trata y en que consiste la prueba de significancia Local (Prueba T) y la prueba de significancia global (Prueba F)</w:t>
      </w:r>
    </w:p>
    <w:p>
      <w:pPr>
        <w:pStyle w:val="Normal"/>
        <w:spacing w:lineRule="auto" w:line="235"/>
        <w:rPr/>
      </w:pPr>
      <w:r>
        <w:rPr/>
      </w:r>
    </w:p>
    <w:p>
      <w:pPr>
        <w:pStyle w:val="Normal"/>
        <w:spacing w:lineRule="auto" w:line="235"/>
        <w:rPr/>
      </w:pPr>
      <w:r>
        <w:rPr/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Prueba de significancia Local (Prueba T)</w:t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  <w:t>En esta prueba lo que se busca es averiguar si dos muestras que tienen medias iguales, provienen de la misma poblacion, ya que permite comparar la media con su valor verdadero o bien las medidas de dos poblaciones, se basa en los limites de confianza “LC”  para el promedio x de n mediciones repetidas.</w:t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  <w:t>Se deben de comparar las 2 medias para validar si estan apareados o no, dichos datos apareados tienen la ventaja de permitir trabajar simplicando a una sola muestra, cuyos valores corresponden a la diferencia entre cada par de datos apareados.</w:t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Los usos mas frecuentes son: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35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Test de posición de muestra unica por el cual se comprueba si la medi de una población que se conoce posee una distribución normal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35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Comprobar si las medias de dos poblaciones distribuidas en forma normal son iguales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35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Test de hipótesis nula por el cual se demuestra que la diferencia entre dos respuestas medidas en la smismas unidades estasdisticas es cero.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35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 test para comprobar si la pendiente de una regresión lineal difiere estadísticamente de ceor.</w:t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Prueba de significancia Global (Prueba F)</w:t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 la prueba en la que el estadistico utilizado sigue una distribución F si la hipotesis nula no puede ser rechazada. </w:t>
      </w:r>
      <w:r>
        <w:rPr>
          <w:rFonts w:ascii="arial" w:hAnsi="arial"/>
          <w:sz w:val="22"/>
          <w:szCs w:val="22"/>
        </w:rPr>
        <w:t xml:space="preserve">Se pretende determinar si dentro un grupo de variables independientes al menos una tiene capacidad  de explicar una parte significativa de la variacion de la variable dependiente. </w:t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 estadistico F puede calcularse como:</w:t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2252980</wp:posOffset>
            </wp:positionH>
            <wp:positionV relativeFrom="paragraph">
              <wp:posOffset>635</wp:posOffset>
            </wp:positionV>
            <wp:extent cx="1438275" cy="771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RSS0 = Coeficiente de determinación del modelo sin restringir.</w:t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RSS1 = Coeficiente de detrminación del modelo restringido.</w:t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 = numero de restricciones impuestas a los coeficientes estimados.</w:t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k = numero de coeficientes estimados en el modelo sin restricciones.</w:t>
      </w:r>
    </w:p>
    <w:p>
      <w:pPr>
        <w:pStyle w:val="Normal"/>
        <w:widowControl/>
        <w:bidi w:val="0"/>
        <w:spacing w:lineRule="auto" w:line="235"/>
        <w:ind w:left="269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 = numero de observaciones del modelo.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Helvetica"/>
    <w:charset w:val="01"/>
    <w:family w:val="auto"/>
    <w:pitch w:val="default"/>
  </w:font>
  <w:font w:name="arial"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89"/>
        </w:tabs>
        <w:ind w:left="98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9"/>
        </w:tabs>
        <w:ind w:left="13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9"/>
        </w:tabs>
        <w:ind w:left="17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9"/>
        </w:tabs>
        <w:ind w:left="20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9"/>
        </w:tabs>
        <w:ind w:left="27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9"/>
        </w:tabs>
        <w:ind w:left="31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9"/>
        </w:tabs>
        <w:ind w:left="386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LibreOffice/6.0.7.3$Linux_X86_64 LibreOffice_project/00m0$Build-3</Application>
  <Pages>1</Pages>
  <Words>328</Words>
  <Characters>1697</Characters>
  <CharactersWithSpaces>2009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2021-02-19T20:43:20Z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