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指导案例1号-上海中原物业顾问有限公司诉陶德华居间合同纠纷案</w:t>
      </w:r>
    </w:p>
    <w:p>
      <w:r>
        <w:t>【关键词】民事；居间合同；二手房买卖；违约</w:t>
      </w:r>
    </w:p>
    <w:p>
      <w:r>
        <w:t>【裁判要点】房屋买卖居间合同中关于禁止买方利用中介公司提供的房源信息却绕开该中介公司与卖方签订房屋买卖合同的约定合法有效。但是，当卖方将同一房屋通过多个中介公司挂牌出售时，买方通过其他公众可以获知的正当途径获得相同房源信息的，有权选择报价低、服务好的中介公司促成房屋买卖合同成立，其行为并没有利用先前中介公司的房源信息，故不构成违约。</w:t>
      </w:r>
    </w:p>
    <w:p>
      <w:r>
        <w:t>【相关法条】《中华人民共和国合同法》第四百二十四条</w:t>
      </w:r>
    </w:p>
    <w:p>
      <w:r>
        <w:t>【基本案情】原告上海中原物业顾问有限公司诉称：被告陶德华利用中原公司提供的上海市虹口区株洲路某号房屋销售信息，故意跳过中介，私自与卖方直接签订购房合同，违反了《房地产求购确认书》的约定，属于恶意"跳单"行为。</w:t>
      </w:r>
    </w:p>
    <w:p>
      <w:r>
        <w:t>法院经审理查明：2008年下半年，原产权人李某某到多家房屋中介公司挂牌销售涉案房屋。中原公司对该房屋报价165万元，而某房地产顾问公司报价145万元。11月30日，在某房地产顾问公司居间下，陶德华与卖方签订了房屋买卖合同，成交价138万元。</w:t>
      </w:r>
    </w:p>
    <w:p>
      <w:r>
        <w:t>【裁判结果】二审法院撤销一审判决，驳回中原公司要求陶德华支付违约金的诉讼请求。</w:t>
      </w:r>
    </w:p>
    <w:p>
      <w:r>
        <w:t>【裁判理由】原产权人通过多家中介公司挂牌出售同一房屋，陶德华及其家人分别通过不同的中介公司了解到同一房源信息，并通过其他中介公司促成了房屋买卖合同成立。陶德华并没有利用中原公司的信息、机会，故不构成违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