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指导案例143号-北京兰世达光电科技有限公司诉赵某某名誉权纠纷案</w:t>
      </w:r>
    </w:p>
    <w:p>
      <w:r>
        <w:t>【关键词】民事 名誉权 网络侵权 微信群 侮辱诽谤</w:t>
      </w:r>
    </w:p>
    <w:p>
      <w:r>
        <w:t>【裁判要点】1.认定微信群中的言论构成侵犯他人名誉权，应当符合名誉权侵权的全部构成要件，还应当考虑信息网络传播的特点并结合侵权主体、传播范围、损害程度等具体因素进行综合判断。2.行为人通过微信群发表不当言论，影响他人社会评价的，应承担侵权责任。</w:t>
      </w:r>
    </w:p>
    <w:p>
      <w:r>
        <w:t>【相关法条】《中华人民共和国民法典》第一千零二十四条</w:t>
      </w:r>
    </w:p>
    <w:p>
      <w:r>
        <w:t>【基本案情】兰世达公司诉称：赵某某在多个微信群中发布针对兰世达公司的不实言论，称该公司存在欺诈行为，导致公司名誉受损、客户流失。</w:t>
      </w:r>
    </w:p>
    <w:p>
      <w:r>
        <w:t>赵某某辩称：其发布的言论属于消费者正当评价，不构成侵权。</w:t>
      </w:r>
    </w:p>
    <w:p>
      <w:r>
        <w:t>【裁判结果】法院判决赵某某在相应微信群中发布道歉声明，并赔偿兰世达公司经济损失。</w:t>
      </w:r>
    </w:p>
    <w:p>
      <w:r>
        <w:t>【裁判理由】赵某某在微信群中发布的言论超出了正当评价的范围，包含不实信息和侮辱性言辞，导致兰世达公司社会评价降低，构成名誉侵权。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