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指导案例2号-吴梅诉四川省眉山西城纸业有限公司买卖合同纠纷案</w:t>
      </w:r>
    </w:p>
    <w:p>
      <w:r>
        <w:t>【关键词】民事诉讼；执行；和解；撤回上诉；申请执行一审判决</w:t>
      </w:r>
    </w:p>
    <w:p>
      <w:r>
        <w:t>【裁判要点】民事案件二审期间，双方当事人达成和解协议，人民法院准许撤回上诉的，该和解协议未经人民法院依法制作调解书，属于诉讼外达成的协议。一方当事人不履行和解协议，另一方当事人申请执行一审判决的，人民法院应予支持。</w:t>
      </w:r>
    </w:p>
    <w:p>
      <w:r>
        <w:t>【相关法条】《中华人民共和国民事诉讼法》第二百零七条第二款</w:t>
      </w:r>
    </w:p>
    <w:p>
      <w:r>
        <w:t>【基本案情】原告吴梅向西城纸业公司出售废纸壳，经结算西城纸业公司欠吴梅货款251.8万元。一审判决西城纸业公司支付货款及违约金。二审期间双方达成和解协议，吴梅撤回上诉。后西城纸业公司未按和解协议履行。</w:t>
      </w:r>
    </w:p>
    <w:p>
      <w:r>
        <w:t>【裁判结果】法院支持吴梅申请执行一审判决。</w:t>
      </w:r>
    </w:p>
    <w:p>
      <w:r>
        <w:t>【裁判理由】和解协议未经人民法院依法制作调解书，不具有强制执行力。西城纸业公司未按和解协议履行义务，吴梅有权申请执行一审判决。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