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指导案例24号-荣宝英诉王阳、永诚财产保险股份有限公司江阴支公司机动车交通事故责任纠纷案</w:t>
      </w:r>
    </w:p>
    <w:p>
      <w:r>
        <w:t>【关键词】民事；交通事故；过错责任；特殊体质；损害赔偿</w:t>
      </w:r>
    </w:p>
    <w:p>
      <w:r>
        <w:t>【裁判要点】交通事故的受害人没有过错，其体质状况对损害后果的影响不属于可以减轻侵权人责任的法定情形。</w:t>
      </w:r>
    </w:p>
    <w:p>
      <w:r>
        <w:t>【相关法条】《中华人民共和国侵权责任法》第二十六条；《中华人民共和国道路交通安全法》第七十六条第一款第（二）项</w:t>
      </w:r>
    </w:p>
    <w:p>
      <w:r>
        <w:t>【基本案情】2012年2月10日，王阳驾驶轿车与行人荣宝英发生碰撞，致荣宝英受伤。交警认定王阳负事故全部责任。荣宝英年老体弱，本身患有骨质疏松等疾病，其个人体质状况对损害后果的发生具有一定的影响。保险公司辩称应按损伤参与度比例确定残疾赔偿金。</w:t>
      </w:r>
    </w:p>
    <w:p>
      <w:r>
        <w:t>【裁判结果】法院判决保险公司全额赔偿残疾赔偿金，不因受害人特殊体质而减轻赔偿。</w:t>
      </w:r>
    </w:p>
    <w:p>
      <w:r>
        <w:t>【裁判理由】交通事故中，受害人对事故的发生没有过错。虽然受害人年老体弱、骨质疏松等个人体质对损害后果有一定影响，但这不是侵权责任法等法律规定的过错。受害人不应因个人体质状况对交通事故导致的伤残存在一定影响而自负相应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