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指导案例7号-牡丹江市宏阁建筑安装有限责任公司诉牡丹江市华隆房地产开发有限责任公司等建设工程施工合同纠纷案</w:t>
      </w:r>
    </w:p>
    <w:p>
      <w:r>
        <w:t>【关键词】民事诉讼；抗诉；申请撤诉；终结审查</w:t>
      </w:r>
    </w:p>
    <w:p>
      <w:r>
        <w:t>【裁判要点】人民法院接到民事抗诉书后，经审查发现案件纠纷已经解决，当事人申请撤诉，且不损害国家利益、社会公共利益或第三人利益的，应当依法作出对抗诉案终结审查的裁定；已裁定再审的，应当依法作出终结再审诉讼的裁定。</w:t>
      </w:r>
    </w:p>
    <w:p>
      <w:r>
        <w:t>【相关法条】《中华人民共和国民事诉讼法》第一百八十七条、第一百四十条第一款第（十一）项</w:t>
      </w:r>
    </w:p>
    <w:p>
      <w:r>
        <w:t>【基本案情】华隆公司与宏阁公司建设工程施工合同纠纷一案，经一审、二审后，华隆公司不服二审判决向检察机关申诉。黑龙江省人民检察院向黑龙江省高级人民法院提出抗诉。在再审审查期间，双方当事人自行达成和解协议并履行完毕，华隆公司申请撤回申诉。</w:t>
      </w:r>
    </w:p>
    <w:p>
      <w:r>
        <w:t>【裁判结果】黑龙江省高级人民法院裁定本案终结审查。</w:t>
      </w:r>
    </w:p>
    <w:p>
      <w:r>
        <w:t>【裁判理由】检察机关抗诉的目的是为了纠正错误裁判，维护司法公正。本案中双方当事人已自行和解并履行完毕，纠纷已经解决，继续再审已无实际意义。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