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案例-丙股东诉丁公司损害股东利益责任案</w:t>
      </w:r>
    </w:p>
    <w:p>
      <w:r>
        <w:t>【关键词】民事；损害股东利益；大股东；小股东保护</w:t>
      </w:r>
    </w:p>
    <w:p>
      <w:r>
        <w:t>【裁判要点】公司的控股股东、实际控制人、董事、监事、高级管理人员不得利用关联关系损害公司利益。给公司或者其他股东造成损失的，应当承担赔偿责任。</w:t>
      </w:r>
    </w:p>
    <w:p>
      <w:r>
        <w:t>【相关法条】《中华人民共和国公司法》第二十条、第二十一条</w:t>
      </w:r>
    </w:p>
    <w:p>
      <w:r>
        <w:t>【基本案情】丁公司大股东利用控制地位，将公司利润转移至自己控制的其他公司，损害了小股东丙的利益。丙提起诉讼。</w:t>
      </w:r>
    </w:p>
    <w:p>
      <w:r>
        <w:t>【裁判结果】法院判决大股东赔偿公司损失。</w:t>
      </w:r>
    </w:p>
    <w:p>
      <w:r>
        <w:t>【裁判理由】大股东滥用控制权损害公司和小股东利益，应承担赔偿责任。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