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案例-丙诉丁交通事故案-好意同乘</w:t>
      </w:r>
    </w:p>
    <w:p>
      <w:r>
        <w:t>【关键词】民事；交通事故；好意同乘；减轻责任</w:t>
      </w:r>
    </w:p>
    <w:p>
      <w:r>
        <w:t>【裁判要点】非营运机动车发生交通事故造成无偿搭乘人损害，属于该机动车一方责任的，应当减轻其赔偿责任，但是机动车使用人有故意或者重大过失的除外。</w:t>
      </w:r>
    </w:p>
    <w:p>
      <w:r>
        <w:t>【相关法条】《中华人民共和国民法典》第一千二百一十七条</w:t>
      </w:r>
    </w:p>
    <w:p>
      <w:r>
        <w:t>【基本案情】丁好意搭载丙出行，途中发生交通事故，丙受伤。交警认定丁负全责。丙要求丁全额赔偿。</w:t>
      </w:r>
    </w:p>
    <w:p>
      <w:r>
        <w:t>【裁判结果】法院判决减轻丁的赔偿责任，承担70%的赔偿。</w:t>
      </w:r>
    </w:p>
    <w:p>
      <w:r>
        <w:t>【裁判理由】丁好意搭载丙，属于好意同乘，应当适当减轻丁的赔偿责任。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