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案例-丙诉丁人格权纠纷案-个人信息保护</w:t>
      </w:r>
    </w:p>
    <w:p>
      <w:r>
        <w:t>【关键词】民事；个人信息保护；知情同意；删除权</w:t>
      </w:r>
    </w:p>
    <w:p>
      <w:r>
        <w:t>【裁判要点】处理个人信息应当遵循合法、正当、必要原则，不得过度处理。个人信息的处理包括个人信息的收集、存储、使用、加工、传输、提供、公开、删除等。自然人有权向信息处理者要求查阅、复制其个人信息，发现信息有误的，有权提出异议并请求更正、删除。</w:t>
      </w:r>
    </w:p>
    <w:p>
      <w:r>
        <w:t>【相关法条】《中华人民共和国民法典》第一千零三十五条；《中华人民共和国个人信息保护法》第四十四条、第四十六条、第四十七条</w:t>
      </w:r>
    </w:p>
    <w:p>
      <w:r>
        <w:t>【基本案情】丁公司未经丙同意收集并使用丙的个人信息用于商业推广。丙发现后要求丁删除信息并赔偿损失。</w:t>
      </w:r>
    </w:p>
    <w:p>
      <w:r>
        <w:t>【裁判结果】法院判决丁删除丙的个人信息并赔偿损失。</w:t>
      </w:r>
    </w:p>
    <w:p>
      <w:r>
        <w:t>【裁判理由】丁公司未经同意收集使用丙的个人信息，侵犯了丙的个人信息权益。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