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案例-丙诉丁借款合同案-砍头息</w:t>
      </w:r>
    </w:p>
    <w:p>
      <w:r>
        <w:t>【关键词】民事；借款合同；砍头息；本金认定</w:t>
      </w:r>
    </w:p>
    <w:p>
      <w:r>
        <w:t>【裁判要点】借款的利息不得预先在本金中扣除。利息预先在本金中扣除的，应当按照实际借款数额返还借款并计算利息。</w:t>
      </w:r>
    </w:p>
    <w:p>
      <w:r>
        <w:t>【相关法条】《中华人民共和国民法典》第六百七十条</w:t>
      </w:r>
    </w:p>
    <w:p>
      <w:r>
        <w:t>【基本案情】丙向丁借款100万元，丁预先扣除利息10万元，实际交付90万元。借款到期后，丁要求丙偿还100万元本金及利息。</w:t>
      </w:r>
    </w:p>
    <w:p>
      <w:r>
        <w:t>【裁判结果】法院认定借款本金为90万元。</w:t>
      </w:r>
    </w:p>
    <w:p>
      <w:r>
        <w:t>【裁判理由】丁预先扣除利息，应按实际借款数额90万元认定本金。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