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案例-丙诉丁变更抚养权案</w:t>
      </w:r>
    </w:p>
    <w:p>
      <w:r>
        <w:t>【关键词】民事；抚养权；变更抚养关系；子女利益最大化</w:t>
      </w:r>
    </w:p>
    <w:p>
      <w:r>
        <w:t>【裁判要点】离婚后，一方要求变更子女抚养关系的，应当另行起诉。与子女共同生活的一方因患严重疾病或者因伤残无力继续抚养子女的，或者与子女共同生活的一方不尽抚养义务或有虐待子女行为的，人民法院应予支持变更。</w:t>
      </w:r>
    </w:p>
    <w:p>
      <w:r>
        <w:t>【相关法条】《最高人民法院关于适用〈中华人民共和国民法典〉婚姻家庭编的解释（一）》第五十六条</w:t>
      </w:r>
    </w:p>
    <w:p>
      <w:r>
        <w:t>【基本案情】丙与丁离婚后，婚生子由丁抚养。后丁因犯罪被判刑入狱，孩子由丁的父母代为照顾。丙以丁无法亲自抚养为由，起诉要求变更抚养关系。</w:t>
      </w:r>
    </w:p>
    <w:p>
      <w:r>
        <w:t>【裁判结果】法院判决变更抚养关系，孩子由丙抚养。</w:t>
      </w:r>
    </w:p>
    <w:p>
      <w:r>
        <w:t>【裁判理由】丁因服刑无法亲自抚养孩子，属于无力继续抚养的情形。丙作为孩子的母亲，有抚养能力和意愿，变更抚养关系有利于孩子的健康成长。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