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案例-丙诉丁合伙协议纠纷案</w:t>
      </w:r>
    </w:p>
    <w:p>
      <w:r>
        <w:t>【关键词】民事；合伙协议；退伙；财产分割</w:t>
      </w:r>
    </w:p>
    <w:p>
      <w:r>
        <w:t>【裁判要点】合伙人退伙，其他合伙人应当与该退伙人按照退伙时的合伙企业财产状况进行结算，退还退伙人的财产份额。</w:t>
      </w:r>
    </w:p>
    <w:p>
      <w:r>
        <w:t>【相关法条】《中华人民共和国民法典》第九百七十二条</w:t>
      </w:r>
    </w:p>
    <w:p>
      <w:r>
        <w:t>【基本案情】丙与丁合伙经营餐厅，丙出资30万元，丁出资20万元。两年后丙要求退伙。丁拒绝退还丙的出资。</w:t>
      </w:r>
    </w:p>
    <w:p>
      <w:r>
        <w:t>【裁判结果】法院判决丁退还丙应得的财产份额。</w:t>
      </w:r>
    </w:p>
    <w:p>
      <w:r>
        <w:t>【裁判理由】丙有权退伙，应按退伙时的财产状况结算并退还财产份额。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