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案例-丙诉丁房屋买卖合同案-阴阳合同</w:t>
      </w:r>
    </w:p>
    <w:p>
      <w:r>
        <w:t>【关键词】民事；房屋买卖；阴阳合同；避税；无效</w:t>
      </w:r>
    </w:p>
    <w:p>
      <w:r>
        <w:t>【裁判要点】行为人与相对人以虚假的意思表示实施的民事法律行为无效。以虚假的意思表示隐藏的民事法律行为的效力，依照有关法律规定处理。</w:t>
      </w:r>
    </w:p>
    <w:p>
      <w:r>
        <w:t>【相关法条】《中华人民共和国民法典》第一百四十六条</w:t>
      </w:r>
    </w:p>
    <w:p>
      <w:r>
        <w:t>【基本案情】丙与丁签订房屋买卖合同，为避税签订了两份合同：一份用于备案的低价合同（100万元），一份实际履行的高价合同（200万元）。后因房价上涨，丁主张按备案合同价格履行。</w:t>
      </w:r>
    </w:p>
    <w:p>
      <w:r>
        <w:t>【裁判结果】法院认定按实际价格200万元履行。</w:t>
      </w:r>
    </w:p>
    <w:p>
      <w:r>
        <w:t>【裁判理由】备案合同系双方虚假意思表示，应按实际合同价格履行。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