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案例-丙诉丁探望权纠纷案</w:t>
      </w:r>
    </w:p>
    <w:p>
      <w:r>
        <w:t>【关键词】民事；探望权；离婚后；子女利益</w:t>
      </w:r>
    </w:p>
    <w:p>
      <w:r>
        <w:t>【裁判要点】离婚后，不直接抚养子女的父或者母，有探望子女的权利，另一方有协助的义务。行使探望权利的方式、时间由当事人协议。协议不成的，由人民法院判决。</w:t>
      </w:r>
    </w:p>
    <w:p>
      <w:r>
        <w:t>【相关法条】《中华人民共和国民法典》第一千零八十六条</w:t>
      </w:r>
    </w:p>
    <w:p>
      <w:r>
        <w:t>【基本案情】丙与丁离婚后，孩子由丁抚养。丁拒绝丙探望孩子。丙起诉要求行使探望权。</w:t>
      </w:r>
    </w:p>
    <w:p>
      <w:r>
        <w:t>【裁判结果】法院判决丙每月探望孩子两次。</w:t>
      </w:r>
    </w:p>
    <w:p>
      <w:r>
        <w:t>【裁判理由】丙作为父亲享有探望权，丁有协助义务。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