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案例-丙诉丁物业服务合同案</w:t>
      </w:r>
    </w:p>
    <w:p>
      <w:r>
        <w:t>【关键词】民事；物业服务合同；服务质量；物业费</w:t>
      </w:r>
    </w:p>
    <w:p>
      <w:r>
        <w:t>【裁判要点】物业服务人应当按照约定和物业的使用性质，妥善维修、养护、清洁、绿化和经营管理物业服务区域内的业主共有部分，维护物业服务区域内的基本秩序，采取合理措施保护业主的人身、财产安全。</w:t>
      </w:r>
    </w:p>
    <w:p>
      <w:r>
        <w:t>【相关法条】《中华人民共和国民法典》第九百四十二条</w:t>
      </w:r>
    </w:p>
    <w:p>
      <w:r>
        <w:t>【基本案情】丙认为物业公司服务质量差（垃圾不清理、绿化无人管），拒交物业费。物业公司起诉丙缴纳物业费。</w:t>
      </w:r>
    </w:p>
    <w:p>
      <w:r>
        <w:t>【裁判结果】法院判决丙按70%标准缴纳物业费。</w:t>
      </w:r>
    </w:p>
    <w:p>
      <w:r>
        <w:t>【裁判理由】物业公司服务质量确实存在问题，应适当减免物业费。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