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案例-丙诉丁租赁合同案-买卖不破租赁</w:t>
      </w:r>
    </w:p>
    <w:p>
      <w:r>
        <w:t>【关键词】民事；租赁合同；买卖不破租赁；承租人保护</w:t>
      </w:r>
    </w:p>
    <w:p>
      <w:r>
        <w:t>【裁判要点】租赁物在承租人按照租赁合同占有期限内发生所有权变动的，不影响租赁合同的效力。</w:t>
      </w:r>
    </w:p>
    <w:p>
      <w:r>
        <w:t>【相关法条】《中华人民共和国民法典》第七百二十五条</w:t>
      </w:r>
    </w:p>
    <w:p>
      <w:r>
        <w:t>【基本案情】丙承租丁的房屋，租期三年。第二年丁将房屋出售给戊。戊要求丙搬离。</w:t>
      </w:r>
    </w:p>
    <w:p>
      <w:r>
        <w:t>【裁判结果】法院判决丙有权继续承租至租期届满。</w:t>
      </w:r>
    </w:p>
    <w:p>
      <w:r>
        <w:t>【裁判理由】买卖不破租赁，丙有权继续承租。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