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案例-丙诉丁著作权案-短视频侵权</w:t>
      </w:r>
    </w:p>
    <w:p>
      <w:r>
        <w:t>【关键词】民事；著作权；短视频；信息网络传播权</w:t>
      </w:r>
    </w:p>
    <w:p>
      <w:r>
        <w:t>【裁判要点】未经著作权人许可，通过信息网络向公众传播其作品的，构成著作权侵权。短视频属于受著作权法保护的作品。</w:t>
      </w:r>
    </w:p>
    <w:p>
      <w:r>
        <w:t>【相关法条】《中华人民共和国著作权法》第十条</w:t>
      </w:r>
    </w:p>
    <w:p>
      <w:r>
        <w:t>【基本案情】丙创作的短视频在某平台获得高播放量。丁未经许可将该视频搬运至其他平台。丙起诉丁侵权。</w:t>
      </w:r>
    </w:p>
    <w:p>
      <w:r>
        <w:t>【裁判结果】法院判决丁停止侵权并赔偿损失。</w:t>
      </w:r>
    </w:p>
    <w:p>
      <w:r>
        <w:t>【裁判理由】丁未经许可传播丙的短视频，侵犯了丙的信息网络传播权。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