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案例-丙诉丁证券公司内幕交易民事赔偿案</w:t>
      </w:r>
    </w:p>
    <w:p>
      <w:r>
        <w:t>【关键词】民事；证券；内幕交易；民事赔偿</w:t>
      </w:r>
    </w:p>
    <w:p>
      <w:r>
        <w:t>【裁判要点】内幕交易行为人应当对内幕交易期间从事相反交易的投资者承担民事赔偿责任。</w:t>
      </w:r>
    </w:p>
    <w:p>
      <w:r>
        <w:t>【相关法条】《中华人民共和国证券法》第五十三条</w:t>
      </w:r>
    </w:p>
    <w:p>
      <w:r>
        <w:t>【基本案情】丁证券公司高管利用内幕信息进行股票交易，导致丙在不知情的情况下遭受投资损失。丙起诉要求赔偿。</w:t>
      </w:r>
    </w:p>
    <w:p>
      <w:r>
        <w:t>【裁判结果】法院判决丁赔偿丙的投资损失。</w:t>
      </w:r>
    </w:p>
    <w:p>
      <w:r>
        <w:t>【裁判理由】丁利用内幕信息交易，应当对从事相反交易的投资者承担赔偿责任。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