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案例-丙诉丁赡养纠纷案</w:t>
      </w:r>
    </w:p>
    <w:p>
      <w:r>
        <w:t>【关键词】民事；赡养纠纷；赡养义务；赡养费</w:t>
      </w:r>
    </w:p>
    <w:p>
      <w:r>
        <w:t>【裁判要点】成年子女不履行赡养义务的，缺乏劳动能力或者生活困难的父母，有要求成年子女给付赡养费的权利。</w:t>
      </w:r>
    </w:p>
    <w:p>
      <w:r>
        <w:t>【相关法条】《中华人民共和国民法典》第一千零六十七条</w:t>
      </w:r>
    </w:p>
    <w:p>
      <w:r>
        <w:t>【基本案情】丙年老体弱，无经济来源。其子丁拒绝支付赡养费。丙起诉要求丁支付赡养费。</w:t>
      </w:r>
    </w:p>
    <w:p>
      <w:r>
        <w:t>【裁判结果】法院判决丁每月支付丙赡养费2000元。</w:t>
      </w:r>
    </w:p>
    <w:p>
      <w:r>
        <w:t>【裁判理由】丁作为成年子女，对年老体弱的父亲负有赡养义务。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