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案例-丙诉丁运输合同案-旅客伤亡</w:t>
      </w:r>
    </w:p>
    <w:p>
      <w:r>
        <w:t>【关键词】民事；运输合同；旅客伤亡；承运人责任</w:t>
      </w:r>
    </w:p>
    <w:p>
      <w:r>
        <w:t>【裁判要点】承运人应当对运输过程中旅客的伤亡承担赔偿责任。但是，伤亡是旅客自身健康原因造成的或者承运人证明伤亡是旅客故意、重大过失造成的除外。</w:t>
      </w:r>
    </w:p>
    <w:p>
      <w:r>
        <w:t>【相关法条】《中华人民共和国民法典》第八百二十三条</w:t>
      </w:r>
    </w:p>
    <w:p>
      <w:r>
        <w:t>【基本案情】丙乘坐丁的长途客车，途中因司机急刹车导致丙受伤。丙要求丁赔偿。</w:t>
      </w:r>
    </w:p>
    <w:p>
      <w:r>
        <w:t>【裁判结果】法院判决丁赔偿丙的损失。</w:t>
      </w:r>
    </w:p>
    <w:p>
      <w:r>
        <w:t>【裁判理由】承运人对运输过程中旅客的伤亡承担赔偿责任。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