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案例-丙诉丁隐私权纠纷案</w:t>
      </w:r>
    </w:p>
    <w:p>
      <w:r>
        <w:t>【关键词】民事；隐私权；个人信息保护；侵权</w:t>
      </w:r>
    </w:p>
    <w:p>
      <w:r>
        <w:t>【裁判要点】自然人享有隐私权。任何组织或者个人不得以刺探、侵扰、泄露、公开等方式侵害他人的隐私权。</w:t>
      </w:r>
    </w:p>
    <w:p>
      <w:r>
        <w:t>【相关法条】《中华人民共和国民法典》第一千零三十二条</w:t>
      </w:r>
    </w:p>
    <w:p>
      <w:r>
        <w:t>【基本案情】丁未经丙同意，将丙的个人信息（姓名、电话、住址）发布在网络上。丙要求丁删除信息并赔偿损失。</w:t>
      </w:r>
    </w:p>
    <w:p>
      <w:r>
        <w:t>【裁判结果】法院判决丁删除信息并赔偿丙精神损害抚慰金。</w:t>
      </w:r>
    </w:p>
    <w:p>
      <w:r>
        <w:t>【裁判理由】丁泄露丙的个人信息，侵犯了丙的隐私权，应承担侵权责任。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