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案例-丙诉某公司劳动争议案-未缴社保</w:t>
      </w:r>
    </w:p>
    <w:p>
      <w:r>
        <w:t>【关键词】民事；劳动争议；社会保险；未缴社保；解除合同</w:t>
      </w:r>
    </w:p>
    <w:p>
      <w:r>
        <w:t>【裁判要点】用人单位未依法为劳动者缴纳社会保险费的，劳动者可以解除劳动合同，用人单位应当支付经济补偿。</w:t>
      </w:r>
    </w:p>
    <w:p>
      <w:r>
        <w:t>【相关法条】《中华人民共和国劳动合同法》第三十八条、第四十六条</w:t>
      </w:r>
    </w:p>
    <w:p>
      <w:r>
        <w:t>【基本案情】丙在某公司工作三年，公司一直未为其缴纳社会保险。丙以此为由解除劳动合同并要求经济补偿。</w:t>
      </w:r>
    </w:p>
    <w:p>
      <w:r>
        <w:t>【裁判结果】法院判决公司支付丙经济补偿金。</w:t>
      </w:r>
    </w:p>
    <w:p>
      <w:r>
        <w:t>【裁判理由】公司未依法缴纳社保，丙有权解除合同并获得经济补偿。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