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案例-丙诉某医院医疗损害案-病历篡改</w:t>
      </w:r>
    </w:p>
    <w:p>
      <w:r>
        <w:t>【关键词】民事；医疗损害；病历篡改；过错推定</w:t>
      </w:r>
    </w:p>
    <w:p>
      <w:r>
        <w:t>【裁判要点】医疗机构伪造、篡改或者销毁病历资料的，推定医疗机构有过错。</w:t>
      </w:r>
    </w:p>
    <w:p>
      <w:r>
        <w:t>【相关法条】《中华人民共和国民法典》第一千二百二十二条</w:t>
      </w:r>
    </w:p>
    <w:p>
      <w:r>
        <w:t>【基本案情】丙在某医院治疗后出现严重并发症。丙要求查阅病历，发现医院对病历进行了多处修改。丙以病历被篡改为由起诉。</w:t>
      </w:r>
    </w:p>
    <w:p>
      <w:r>
        <w:t>【裁判结果】法院推定医院有过错，判决医院赔偿。</w:t>
      </w:r>
    </w:p>
    <w:p>
      <w:r>
        <w:t>【裁判理由】医院篡改病历，依法推定其有过错，应当承担赔偿责任。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