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案例-丙诉某税务局税务行政案</w:t>
      </w:r>
    </w:p>
    <w:p>
      <w:r>
        <w:t>【关键词】行政；税务行政；纳税争议；行政复议前置</w:t>
      </w:r>
    </w:p>
    <w:p>
      <w:r>
        <w:t>【裁判要点】纳税人、扣缴义务人、纳税担保人同税务机关在纳税上发生争议时，必须先依照税务机关的纳税决定缴纳或者解缴税款及滞纳金或者提供相应的担保，然后可以依法申请行政复议。对行政复议决定不服的，可以依法向人民法院起诉。</w:t>
      </w:r>
    </w:p>
    <w:p>
      <w:r>
        <w:t>【相关法条】《中华人民共和国税收征收管理法》第八十八条</w:t>
      </w:r>
    </w:p>
    <w:p>
      <w:r>
        <w:t>【基本案情】丙对税务局的补税决定不服，未先申请行政复议直接提起行政诉讼。</w:t>
      </w:r>
    </w:p>
    <w:p>
      <w:r>
        <w:t>【裁判结果】法院裁定驳回起诉。</w:t>
      </w:r>
    </w:p>
    <w:p>
      <w:r>
        <w:t>【裁判理由】纳税争议应当先申请行政复议，丙未经复议直接起诉不符合法律规定。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