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案例-丙诉某街道办行政强制案-违法强拆</w:t>
      </w:r>
    </w:p>
    <w:p>
      <w:r>
        <w:t>【关键词】行政；行政强制；违法强拆；行政赔偿</w:t>
      </w:r>
    </w:p>
    <w:p>
      <w:r>
        <w:t>【裁判要点】行政机关实施行政强制措施应当依照法定程序。违法实施行政强制造成损害的，受害人有权获得赔偿。</w:t>
      </w:r>
    </w:p>
    <w:p>
      <w:r>
        <w:t>【相关法条】《中华人民共和国行政强制法》第八条</w:t>
      </w:r>
    </w:p>
    <w:p>
      <w:r>
        <w:t>【基本案情】某街道办未依法定程序强制拆除了丙的房屋。丙提起行政诉讼要求确认强拆违法并赔偿损失。</w:t>
      </w:r>
    </w:p>
    <w:p>
      <w:r>
        <w:t>【裁判结果】法院确认强拆违法，判决街道办赔偿丙的损失。</w:t>
      </w:r>
    </w:p>
    <w:p>
      <w:r>
        <w:t>【裁判理由】街道办未依法定程序强拆房屋，违法，应承担赔偿责任。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