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案例-乙诉某健身房预付卡退款案</w:t>
      </w:r>
    </w:p>
    <w:p>
      <w:r>
        <w:t>【关键词】民事；预付式消费；退款；经营者停业</w:t>
      </w:r>
    </w:p>
    <w:p>
      <w:r>
        <w:t>【裁判要点】经营者以预收款方式提供商品或者服务的，应当按照约定提供。未按照约定提供的，应当按照消费者的要求履行约定或者退回预付款。</w:t>
      </w:r>
    </w:p>
    <w:p>
      <w:r>
        <w:t>【相关法条】《中华人民共和国消费者权益保护法》第五十三条</w:t>
      </w:r>
    </w:p>
    <w:p>
      <w:r>
        <w:t>【基本案情】乙在某健身房办理年卡，预付费用5000元。使用两个月后，健身房突然关闭，乙要求退还剩余费用。</w:t>
      </w:r>
    </w:p>
    <w:p>
      <w:r>
        <w:t>【裁判结果】法院判决健身房退还乙剩余费用。</w:t>
      </w:r>
    </w:p>
    <w:p>
      <w:r>
        <w:t>【裁判理由】健身房停业导致无法继续提供服务，乙有权要求退还预付款余额。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