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案例-乙诉某公司劳动争议案-工资拖欠</w:t>
      </w:r>
    </w:p>
    <w:p>
      <w:r>
        <w:t>【关键词】民事；劳动争议；工资拖欠；被迫辞职</w:t>
      </w:r>
    </w:p>
    <w:p>
      <w:r>
        <w:t>【裁判要点】用人单位未及时足额支付劳动报酬的，劳动者可以解除劳动合同，用人单位应当支付经济补偿。</w:t>
      </w:r>
    </w:p>
    <w:p>
      <w:r>
        <w:t>【相关法条】《中华人民共和国劳动合同法》第三十八条、第四十六条</w:t>
      </w:r>
    </w:p>
    <w:p>
      <w:r>
        <w:t>【基本案情】某公司拖欠乙三个月工资。乙以此为由解除劳动合同并要求经济补偿。</w:t>
      </w:r>
    </w:p>
    <w:p>
      <w:r>
        <w:t>【裁判结果】法院判决公司支付拖欠工资和经济补偿金。</w:t>
      </w:r>
    </w:p>
    <w:p>
      <w:r>
        <w:t>【裁判理由】公司拖欠工资，乙有权解除合同并获得经济补偿。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