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案例-乙诉某公安局户籍登记案</w:t>
      </w:r>
    </w:p>
    <w:p>
      <w:r>
        <w:t>【关键词】行政；户籍登记；行政确认；程序违法</w:t>
      </w:r>
    </w:p>
    <w:p>
      <w:r>
        <w:t>【裁判要点】行政机关作出行政确认行为应当依法进行。行政确认行为程序违法的，应当撤销。</w:t>
      </w:r>
    </w:p>
    <w:p>
      <w:r>
        <w:t>【相关法条】《中华人民共和国户口登记条例》</w:t>
      </w:r>
    </w:p>
    <w:p>
      <w:r>
        <w:t>【基本案情】乙申请变更户籍登记中的姓名，公安局以不符合规定为由拒绝。乙提起行政诉讼。</w:t>
      </w:r>
    </w:p>
    <w:p>
      <w:r>
        <w:t>【裁判结果】法院判决公安局重新作出决定。</w:t>
      </w:r>
    </w:p>
    <w:p>
      <w:r>
        <w:t>【裁判理由】公安局的拒绝决定缺乏充分依据，应重新审查。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