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案例-乙诉某区政府行政征收案-补偿标准</w:t>
      </w:r>
    </w:p>
    <w:p>
      <w:r>
        <w:t>【关键词】行政；行政征收；房屋拆迁；补偿标准；市场价格</w:t>
      </w:r>
    </w:p>
    <w:p>
      <w:r>
        <w:t>【裁判要点】征收个人住宅的，应当依法给予征收补偿，保障被征收人的居住条件。对被征收房屋价值的补偿，不得低于房屋征收决定公告之日被征收房屋类似房地产的市场价格。</w:t>
      </w:r>
    </w:p>
    <w:p>
      <w:r>
        <w:t>【相关法条】《国有土地上房屋征收与补偿条例》第十九条</w:t>
      </w:r>
    </w:p>
    <w:p>
      <w:r>
        <w:t>【基本案情】乙的房屋被某区政府征收。区政府按照5年前的评估价格给予补偿，远低于当前市场价格。乙认为补偿标准不合理，提起行政诉讼。</w:t>
      </w:r>
    </w:p>
    <w:p>
      <w:r>
        <w:t>【裁判结果】法院判决区政府重新按照市场价格评估并给予补偿。</w:t>
      </w:r>
    </w:p>
    <w:p>
      <w:r>
        <w:t>【裁判理由】房屋征收补偿应当按照征收决定公告之日的市场价格确定。区政府按照5年前的价格补偿，违反了法律规定，应重新评估。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