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案例-乙诉某市场监管局行政处罚案-处罚过重</w:t>
      </w:r>
    </w:p>
    <w:p>
      <w:r>
        <w:t>【关键词】行政；行政处罚；过罚相当；比例原则</w:t>
      </w:r>
    </w:p>
    <w:p>
      <w:r>
        <w:t>【裁判要点】行政处罚的种类和幅度应当与违法行为的事实、性质、情节以及社会危害程度相当。行政处罚不得畸轻畸重。</w:t>
      </w:r>
    </w:p>
    <w:p>
      <w:r>
        <w:t>【相关法条】《中华人民共和国行政处罚法》第五条</w:t>
      </w:r>
    </w:p>
    <w:p>
      <w:r>
        <w:t>【基本案情】乙经营的小餐馆因卫生问题被市场监管局罚款20万元。乙认为处罚过重，提起行政诉讼。</w:t>
      </w:r>
    </w:p>
    <w:p>
      <w:r>
        <w:t>【裁判结果】法院变更罚款金额为5万元。</w:t>
      </w:r>
    </w:p>
    <w:p>
      <w:r>
        <w:t>【裁判理由】乙的违法行为情节轻微，20万元罚款明显过重，违反比例原则，应予调整。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