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案例-乙诉某教育局行政不作为案</w:t>
      </w:r>
    </w:p>
    <w:p>
      <w:r>
        <w:t>【关键词】行政；行政不作为；教育行政；法定职责</w:t>
      </w:r>
    </w:p>
    <w:p>
      <w:r>
        <w:t>【裁判要点】行政机关不履行法定职责的，当事人可以向人民法院提起诉讼。人民法院应当判决行政机关在一定期限内履行。</w:t>
      </w:r>
    </w:p>
    <w:p>
      <w:r>
        <w:t>【相关法条】《中华人民共和国行政诉讼法》第七十二条</w:t>
      </w:r>
    </w:p>
    <w:p>
      <w:r>
        <w:t>【基本案情】乙向教育局投诉某学校违规收费，教育局未予处理。乙提起行政诉讼。</w:t>
      </w:r>
    </w:p>
    <w:p>
      <w:r>
        <w:t>【裁判结果】法院判决教育局在一定期限内对乙的投诉作出处理。</w:t>
      </w:r>
    </w:p>
    <w:p>
      <w:r>
        <w:t>【裁判理由】教育局对投诉事项有法定处理职责，不履行构成行政不作为。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