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案例-吴某袭警案</w:t>
      </w:r>
    </w:p>
    <w:p>
      <w:r>
        <w:t>【关键词】刑事；袭警罪；暴力袭击；正在执行职务</w:t>
      </w:r>
    </w:p>
    <w:p>
      <w:r>
        <w:t>【裁判要点】暴力袭击正在依法执行职务的人民警察的，处三年以下有期徒刑、拘役或者管制。使用枪支、管制刀具，或者以驾驶机动车撞击等手段，严重危及其人身安全的，处三年以上七年以下有期徒刑。</w:t>
      </w:r>
    </w:p>
    <w:p>
      <w:r>
        <w:t>【相关法条】《中华人民共和国刑法》第二百七十七条第五款</w:t>
      </w:r>
    </w:p>
    <w:p>
      <w:r>
        <w:t>【基本案情】吴某在交警执法时，对交警进行殴打，致交警轻微伤。</w:t>
      </w:r>
    </w:p>
    <w:p>
      <w:r>
        <w:t>【裁判结果】法院以袭警罪判处吴某有期徒刑一年。</w:t>
      </w:r>
    </w:p>
    <w:p>
      <w:r>
        <w:t>【裁判理由】吴某暴力袭击正在执行职务的人民警察，构成袭警罪。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