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案例-周某故意伤害案-轻伤二级</w:t>
      </w:r>
    </w:p>
    <w:p>
      <w:r>
        <w:t>【关键词】刑事；故意伤害罪；轻伤；民间纠纷；赔偿谅解</w:t>
      </w:r>
    </w:p>
    <w:p>
      <w:r>
        <w:t>【裁判要点】因民间纠纷引发的故意伤害案件，致人轻伤的，被告人积极赔偿被害人损失并取得谅解的，可以依法从轻处罚，符合条件的可以适用缓刑。</w:t>
      </w:r>
    </w:p>
    <w:p>
      <w:r>
        <w:t>【相关法条】《中华人民共和国刑法》第二百三十四条第一款、第七十二条</w:t>
      </w:r>
    </w:p>
    <w:p>
      <w:r>
        <w:t>【基本案情】被告人周某与被害人吴某因邻里纠纷发生争执，周某持木棍击打吴某头部，致吴某轻伤二级。案发后，周某主动赔偿吴某医疗费等损失共计人民币5万元，取得吴某谅解。</w:t>
      </w:r>
    </w:p>
    <w:p>
      <w:r>
        <w:t>【裁判结果】法院以故意伤害罪判处周某有期徒刑一年，缓刑一年六个月。</w:t>
      </w:r>
    </w:p>
    <w:p>
      <w:r>
        <w:t>【裁判理由】周某故意伤害他人身体，致一人轻伤，其行为已构成故意伤害罪。鉴于本案系因民间纠纷引发，周某积极赔偿被害人损失并取得谅解，认罪态度好，可依法从轻处罚并适用缓刑。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