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案例-张某故意伤害案-防卫过当</w:t>
      </w:r>
    </w:p>
    <w:p>
      <w:r>
        <w:t>【关键词】刑事；故意伤害罪；防卫过当；减轻处罚</w:t>
      </w:r>
    </w:p>
    <w:p>
      <w:r>
        <w:t>【裁判要点】正当防卫明显超过必要限度造成重大损害的，应当负刑事责任，但是应当减轻或者免除处罚。</w:t>
      </w:r>
    </w:p>
    <w:p>
      <w:r>
        <w:t>【相关法条】《中华人民共和国刑法》第二十条</w:t>
      </w:r>
    </w:p>
    <w:p>
      <w:r>
        <w:t>【基本案情】张某遭到他人殴打，在反抗过程中持刀将对方刺成重伤。张某的行为属于防卫过当。</w:t>
      </w:r>
    </w:p>
    <w:p>
      <w:r>
        <w:t>【裁判结果】法院以故意伤害罪判处张某有期徒刑二年，缓刑三年。</w:t>
      </w:r>
    </w:p>
    <w:p>
      <w:r>
        <w:t>【裁判理由】张某的行为具有防卫性质，但明显超过必要限度，属于防卫过当，应减轻处罚。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