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案例-戊公司诉己公司不正当竞争案-商业诋毁</w:t>
      </w:r>
    </w:p>
    <w:p>
      <w:r>
        <w:t>【关键词】民事；不正当竞争；商业诋毁；虚假信息</w:t>
      </w:r>
    </w:p>
    <w:p>
      <w:r>
        <w:t>【裁判要点】经营者不得编造、传播虚假信息或者误导性信息，损害竞争对手的商业信誉、商品声誉。</w:t>
      </w:r>
    </w:p>
    <w:p>
      <w:r>
        <w:t>【相关法条】《中华人民共和国反不正当竞争法》第十一条</w:t>
      </w:r>
    </w:p>
    <w:p>
      <w:r>
        <w:t>【基本案情】戊公司编造并传播关于己公司产品质量问题的虚假信息，导致己公司客户流失。己公司起诉戊公司不正当竞争。</w:t>
      </w:r>
    </w:p>
    <w:p>
      <w:r>
        <w:t>【裁判结果】法院判决戊公司停止不正当竞争行为，赔偿己公司损失。</w:t>
      </w:r>
    </w:p>
    <w:p>
      <w:r>
        <w:t>【裁判理由】戊公司编造传播虚假信息，损害己公司商业信誉，构成不正当竞争。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