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案例-戊股东诉己公司解散案-经营管理困难</w:t>
      </w:r>
    </w:p>
    <w:p>
      <w:r>
        <w:t>【关键词】民事；公司解散；经营管理困难；股东僵局</w:t>
      </w:r>
    </w:p>
    <w:p>
      <w:r>
        <w:t>【裁判要点】公司经营管理发生严重困难，继续存续会使股东利益受到重大损失，通过其他途径不能解决的，持有公司全部股东表决权百分之十以上的股东，可以请求人民法院解散公司。</w:t>
      </w:r>
    </w:p>
    <w:p>
      <w:r>
        <w:t>【相关法条】《中华人民共和国公司法》第一百八十二条</w:t>
      </w:r>
    </w:p>
    <w:p>
      <w:r>
        <w:t>【基本案情】己公司两名股东各持股50%，长期矛盾无法调和，公司无法正常运营。戊股东持股51%，请求解散公司。</w:t>
      </w:r>
    </w:p>
    <w:p>
      <w:r>
        <w:t>【裁判结果】法院判决解散己公司。</w:t>
      </w:r>
    </w:p>
    <w:p>
      <w:r>
        <w:t>【裁判理由】公司经营管理发生严重困难，股东之间矛盾无法调和，符合解散条件。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