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案例-戊诉己中介合同案-跳单</w:t>
      </w:r>
    </w:p>
    <w:p>
      <w:r>
        <w:t>【关键词】民事；中介合同；跳单；报酬请求权</w:t>
      </w:r>
    </w:p>
    <w:p>
      <w:r>
        <w:t>【裁判要点】委托人在接受中介人的服务后，利用中介人提供的交易机会或者媒介服务，绕开中介人直接订立合同的，应当向中介人支付报酬。</w:t>
      </w:r>
    </w:p>
    <w:p>
      <w:r>
        <w:t>【相关法条】《中华人民共和国民法典》第九百六十五条</w:t>
      </w:r>
    </w:p>
    <w:p>
      <w:r>
        <w:t>【基本案情】戊通过己中介看房后，绕开己直接与房东签订购房合同。己要求戊支付中介费。</w:t>
      </w:r>
    </w:p>
    <w:p>
      <w:r>
        <w:t>【裁判结果】法院判决戊支付己中介费。</w:t>
      </w:r>
    </w:p>
    <w:p>
      <w:r>
        <w:t>【裁判理由】戊利用己提供的房源信息绕开己直接成交，应支付报酬。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