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案例-戊诉己交通事故案-营运车辆停运损失</w:t>
      </w:r>
    </w:p>
    <w:p>
      <w:r>
        <w:t>【关键词】民事；交通事故；停运损失；营运车辆</w:t>
      </w:r>
    </w:p>
    <w:p>
      <w:r>
        <w:t>【裁判要点】因交通事故造成依法从事货物运输、旅客运输等经营性活动的车辆无法从事相应经营活动所产生的合理停运损失，当事人请求侵权人赔偿的，人民法院应予支持。</w:t>
      </w:r>
    </w:p>
    <w:p>
      <w:r>
        <w:t>【相关法条】《最高人民法院关于审理道路交通事故损害赔偿案件适用法律若干问题的解释》第十二条</w:t>
      </w:r>
    </w:p>
    <w:p>
      <w:r>
        <w:t>【基本案情】戊驾驶营运出租车与己发生交通事故，己负全责。出租车维修期间停运15天。戊要求己赔偿停运损失。</w:t>
      </w:r>
    </w:p>
    <w:p>
      <w:r>
        <w:t>【裁判结果】法院判决己赔偿戊停运损失。</w:t>
      </w:r>
    </w:p>
    <w:p>
      <w:r>
        <w:t>【裁判理由】戊的出租车属于营运车辆，因事故停运造成的损失属于合理损失，己应当赔偿。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