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案例-戊诉己健康权纠纷案-校园欺凌</w:t>
      </w:r>
    </w:p>
    <w:p>
      <w:r>
        <w:t>【关键词】民事；健康权；校园欺凌；未成年人；赔偿</w:t>
      </w:r>
    </w:p>
    <w:p>
      <w:r>
        <w:t>【裁判要点】限制民事行为能力人造成他人损害的，由监护人承担侵权责任。学校未尽到管理职责的，承担相应的补充责任。</w:t>
      </w:r>
    </w:p>
    <w:p>
      <w:r>
        <w:t>【相关法条】《中华人民共和国民法典》第一千一百八十八条、第一千二百条</w:t>
      </w:r>
    </w:p>
    <w:p>
      <w:r>
        <w:t>【基本案情】戊（14岁）在学校被同学己多次殴打欺凌，导致身心受损。戊的家长起诉己的家长和学校。</w:t>
      </w:r>
    </w:p>
    <w:p>
      <w:r>
        <w:t>【裁判结果】法院判决己的家长赔偿戊的损失，学校承担补充责任。</w:t>
      </w:r>
    </w:p>
    <w:p>
      <w:r>
        <w:t>【裁判理由】己的欺凌行为造成戊损害，己的监护人应承担赔偿责任。学校未尽到管理职责，应承担补充责任。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