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案例-戊诉己合同纠纷案-格式条款</w:t>
      </w:r>
    </w:p>
    <w:p>
      <w:r>
        <w:t>【关键词】民事；格式条款；提示说明义务；无效</w:t>
      </w:r>
    </w:p>
    <w:p>
      <w:r>
        <w:t>【裁判要点】提供格式条款的一方未履行提示或者说明义务，致使对方没有注意或者理解与其有重大利害关系的条款的，对方可以主张该条款不成为合同的内容。</w:t>
      </w:r>
    </w:p>
    <w:p>
      <w:r>
        <w:t>【相关法条】《中华人民共和国民法典》第四百九十六条</w:t>
      </w:r>
    </w:p>
    <w:p>
      <w:r>
        <w:t>【基本案情】戊在某平台注册账号时，平台的用户协议中有一条免责条款。戊因平台服务问题遭受损失，平台以该免责条款抗辩。</w:t>
      </w:r>
    </w:p>
    <w:p>
      <w:r>
        <w:t>【裁判结果】法院认定该免责条款不成为合同内容。</w:t>
      </w:r>
    </w:p>
    <w:p>
      <w:r>
        <w:t>【裁判理由】平台未对免责条款履行提示说明义务，该条款不成为合同内容。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