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案例-戊诉己抚养费纠纷案</w:t>
      </w:r>
    </w:p>
    <w:p>
      <w:r>
        <w:t>【关键词】民事；抚养费；离婚后；增加抚养费</w:t>
      </w:r>
    </w:p>
    <w:p>
      <w:r>
        <w:t>【裁判要点】关于子女生活费和教育费的协议或判决，不妨碍子女在必要时向父母任何一方提出超过协议或判决原定数额的合理要求。</w:t>
      </w:r>
    </w:p>
    <w:p>
      <w:r>
        <w:t>【相关法条】《中华人民共和国民法典》第一千零八十五条</w:t>
      </w:r>
    </w:p>
    <w:p>
      <w:r>
        <w:t>【基本案情】戊与己离婚后，孩子由戊抚养，己每月支付抚养费1000元。随着孩子上学和物价上涨，1000元已不够。戊要求增加抚养费。</w:t>
      </w:r>
    </w:p>
    <w:p>
      <w:r>
        <w:t>【裁判结果】法院判决己每月支付抚养费2000元。</w:t>
      </w:r>
    </w:p>
    <w:p>
      <w:r>
        <w:t>【裁判理由】原定抚养费数额已不能满足孩子实际需要，应适当增加。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