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案例-戊诉己收养关系纠纷案</w:t>
      </w:r>
    </w:p>
    <w:p>
      <w:r>
        <w:t>【关键词】民事；收养关系；解除收养；补偿</w:t>
      </w:r>
    </w:p>
    <w:p>
      <w:r>
        <w:t>【裁判要点】收养关系可以依法解除。养父母与成年养子女关系恶化、无法共同生活的，可以协议解除收养关系。不能达成协议的，可以向人民法院提起诉讼。</w:t>
      </w:r>
    </w:p>
    <w:p>
      <w:r>
        <w:t>【相关法条】《中华人民共和国民法典》第一千一百一十五条</w:t>
      </w:r>
    </w:p>
    <w:p>
      <w:r>
        <w:t>【基本案情】戊收养己多年。成年后己与戊关系恶化，无法共同生活。戊要求解除收养关系并要求己补偿抚养费。</w:t>
      </w:r>
    </w:p>
    <w:p>
      <w:r>
        <w:t>【裁判结果】法院判决解除收养关系。</w:t>
      </w:r>
    </w:p>
    <w:p>
      <w:r>
        <w:t>【裁判理由】双方关系恶化无法共同生活，可以解除收养关系。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